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34" w:rsidRPr="00EC6B29" w:rsidRDefault="006E15BE" w:rsidP="00B278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29">
        <w:rPr>
          <w:rFonts w:ascii="Times New Roman" w:hAnsi="Times New Roman" w:cs="Times New Roman"/>
          <w:b/>
          <w:sz w:val="28"/>
          <w:szCs w:val="28"/>
        </w:rPr>
        <w:t>AMEBIASIS</w:t>
      </w:r>
    </w:p>
    <w:p w:rsidR="00B57094" w:rsidRPr="00475670" w:rsidRDefault="007A3E47" w:rsidP="00AF35B9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5670">
        <w:rPr>
          <w:rFonts w:ascii="Times New Roman" w:hAnsi="Times New Roman" w:cs="Times New Roman"/>
          <w:sz w:val="21"/>
          <w:szCs w:val="21"/>
        </w:rPr>
        <w:t>La amebiasis e</w:t>
      </w:r>
      <w:r w:rsidR="00B57094" w:rsidRPr="00475670">
        <w:rPr>
          <w:rFonts w:ascii="Times New Roman" w:hAnsi="Times New Roman" w:cs="Times New Roman"/>
          <w:sz w:val="21"/>
          <w:szCs w:val="21"/>
        </w:rPr>
        <w:t xml:space="preserve">s </w:t>
      </w:r>
      <w:r w:rsidR="002757B7" w:rsidRPr="00475670">
        <w:rPr>
          <w:rFonts w:ascii="Times New Roman" w:hAnsi="Times New Roman" w:cs="Times New Roman"/>
          <w:sz w:val="21"/>
          <w:szCs w:val="21"/>
        </w:rPr>
        <w:t xml:space="preserve">una infección </w:t>
      </w:r>
      <w:r w:rsidR="00AA287D" w:rsidRPr="00475670">
        <w:rPr>
          <w:rFonts w:ascii="Times New Roman" w:hAnsi="Times New Roman" w:cs="Times New Roman"/>
          <w:sz w:val="21"/>
          <w:szCs w:val="21"/>
        </w:rPr>
        <w:t xml:space="preserve">que afecta a 100 millones de personas al año, </w:t>
      </w:r>
      <w:r w:rsidR="002757B7" w:rsidRPr="00475670">
        <w:rPr>
          <w:rFonts w:ascii="Times New Roman" w:hAnsi="Times New Roman" w:cs="Times New Roman"/>
          <w:sz w:val="21"/>
          <w:szCs w:val="21"/>
        </w:rPr>
        <w:t>producido por el protozoario</w:t>
      </w:r>
      <w:r w:rsidR="00B57094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B57094" w:rsidRPr="006F4696">
        <w:rPr>
          <w:rFonts w:ascii="Times New Roman" w:hAnsi="Times New Roman" w:cs="Times New Roman"/>
          <w:i/>
          <w:sz w:val="21"/>
          <w:szCs w:val="21"/>
        </w:rPr>
        <w:t>Entamoeba histolyti</w:t>
      </w:r>
      <w:r w:rsidR="002757B7" w:rsidRPr="006F4696">
        <w:rPr>
          <w:rFonts w:ascii="Times New Roman" w:hAnsi="Times New Roman" w:cs="Times New Roman"/>
          <w:i/>
          <w:sz w:val="21"/>
          <w:szCs w:val="21"/>
        </w:rPr>
        <w:t>ca</w:t>
      </w:r>
      <w:r w:rsidR="002757B7" w:rsidRPr="00475670">
        <w:rPr>
          <w:rFonts w:ascii="Times New Roman" w:hAnsi="Times New Roman" w:cs="Times New Roman"/>
          <w:sz w:val="21"/>
          <w:szCs w:val="21"/>
        </w:rPr>
        <w:t xml:space="preserve">, principalmente en el intestino grueso, invadiendo la mucosa intestinal y, en casos más graves, localizándose en regiones </w:t>
      </w:r>
      <w:proofErr w:type="spellStart"/>
      <w:r w:rsidR="002757B7" w:rsidRPr="00475670">
        <w:rPr>
          <w:rFonts w:ascii="Times New Roman" w:hAnsi="Times New Roman" w:cs="Times New Roman"/>
          <w:sz w:val="21"/>
          <w:szCs w:val="21"/>
        </w:rPr>
        <w:t>extraintestinales</w:t>
      </w:r>
      <w:proofErr w:type="spellEnd"/>
      <w:r w:rsidR="00475670" w:rsidRPr="00475670">
        <w:rPr>
          <w:rFonts w:ascii="Times New Roman" w:hAnsi="Times New Roman" w:cs="Times New Roman"/>
          <w:sz w:val="21"/>
          <w:szCs w:val="21"/>
        </w:rPr>
        <w:t xml:space="preserve"> (1,2)</w:t>
      </w:r>
      <w:r w:rsidR="00CC24EF" w:rsidRPr="00475670">
        <w:rPr>
          <w:rFonts w:ascii="Times New Roman" w:hAnsi="Times New Roman" w:cs="Times New Roman"/>
          <w:sz w:val="21"/>
          <w:szCs w:val="21"/>
        </w:rPr>
        <w:t>.</w:t>
      </w:r>
    </w:p>
    <w:p w:rsidR="006E15BE" w:rsidRPr="00475670" w:rsidRDefault="006E15BE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Historia</w:t>
      </w:r>
      <w:r w:rsidRPr="00475670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F.A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Losch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 descubre en 1875 a la </w:t>
      </w:r>
      <w:r w:rsidR="003942A2" w:rsidRPr="00475670">
        <w:rPr>
          <w:rFonts w:ascii="Times New Roman" w:hAnsi="Times New Roman" w:cs="Times New Roman"/>
          <w:i/>
          <w:sz w:val="21"/>
          <w:szCs w:val="21"/>
        </w:rPr>
        <w:t>Ent</w:t>
      </w:r>
      <w:r w:rsidRPr="00475670">
        <w:rPr>
          <w:rFonts w:ascii="Times New Roman" w:hAnsi="Times New Roman" w:cs="Times New Roman"/>
          <w:i/>
          <w:sz w:val="21"/>
          <w:szCs w:val="21"/>
        </w:rPr>
        <w:t>amoeba histolytica</w:t>
      </w:r>
      <w:r w:rsidRPr="00475670">
        <w:rPr>
          <w:rFonts w:ascii="Times New Roman" w:hAnsi="Times New Roman" w:cs="Times New Roman"/>
          <w:sz w:val="21"/>
          <w:szCs w:val="21"/>
        </w:rPr>
        <w:t xml:space="preserve"> en un campesino, para luego inocular el parásito en cuatro perros, observando disentería con ulcera</w:t>
      </w:r>
      <w:r w:rsidR="002757B7" w:rsidRPr="00475670">
        <w:rPr>
          <w:rFonts w:ascii="Times New Roman" w:hAnsi="Times New Roman" w:cs="Times New Roman"/>
          <w:sz w:val="21"/>
          <w:szCs w:val="21"/>
        </w:rPr>
        <w:t>ciones y amebas en el exudado de</w:t>
      </w:r>
      <w:r w:rsidRPr="00475670">
        <w:rPr>
          <w:rFonts w:ascii="Times New Roman" w:hAnsi="Times New Roman" w:cs="Times New Roman"/>
          <w:sz w:val="21"/>
          <w:szCs w:val="21"/>
        </w:rPr>
        <w:t xml:space="preserve"> uno de ellos.</w:t>
      </w:r>
    </w:p>
    <w:p w:rsidR="008B03F0" w:rsidRPr="00475670" w:rsidRDefault="006E15BE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Agente etiológico</w:t>
      </w:r>
      <w:r w:rsidRPr="00475670">
        <w:rPr>
          <w:rFonts w:ascii="Times New Roman" w:hAnsi="Times New Roman" w:cs="Times New Roman"/>
          <w:sz w:val="21"/>
          <w:szCs w:val="21"/>
        </w:rPr>
        <w:t xml:space="preserve">: las dos especies más comunes de </w:t>
      </w:r>
      <w:r w:rsidR="003942A2" w:rsidRPr="00475670">
        <w:rPr>
          <w:rFonts w:ascii="Times New Roman" w:hAnsi="Times New Roman" w:cs="Times New Roman"/>
          <w:i/>
          <w:sz w:val="21"/>
          <w:szCs w:val="21"/>
        </w:rPr>
        <w:t>Entamoeba</w:t>
      </w:r>
      <w:r w:rsidRPr="00475670">
        <w:rPr>
          <w:rFonts w:ascii="Times New Roman" w:hAnsi="Times New Roman" w:cs="Times New Roman"/>
          <w:i/>
          <w:sz w:val="21"/>
          <w:szCs w:val="21"/>
        </w:rPr>
        <w:t xml:space="preserve">, E. histolytica </w:t>
      </w:r>
      <w:r w:rsidRPr="00475670">
        <w:rPr>
          <w:rFonts w:ascii="Times New Roman" w:hAnsi="Times New Roman" w:cs="Times New Roman"/>
          <w:sz w:val="21"/>
          <w:szCs w:val="21"/>
        </w:rPr>
        <w:t>y</w:t>
      </w:r>
      <w:r w:rsidRPr="00475670">
        <w:rPr>
          <w:rFonts w:ascii="Times New Roman" w:hAnsi="Times New Roman" w:cs="Times New Roman"/>
          <w:i/>
          <w:sz w:val="21"/>
          <w:szCs w:val="21"/>
        </w:rPr>
        <w:t xml:space="preserve"> E. dispar</w:t>
      </w:r>
      <w:r w:rsidRPr="00475670">
        <w:rPr>
          <w:rFonts w:ascii="Times New Roman" w:hAnsi="Times New Roman" w:cs="Times New Roman"/>
          <w:sz w:val="21"/>
          <w:szCs w:val="21"/>
        </w:rPr>
        <w:t>, son idénticos en el microscopio</w:t>
      </w:r>
      <w:r w:rsidR="008B03F0" w:rsidRPr="00475670">
        <w:rPr>
          <w:rFonts w:ascii="Times New Roman" w:hAnsi="Times New Roman" w:cs="Times New Roman"/>
          <w:sz w:val="21"/>
          <w:szCs w:val="21"/>
        </w:rPr>
        <w:t xml:space="preserve"> óptico, sin embargo, en el microscopio electrónico los</w:t>
      </w:r>
      <w:r w:rsidR="002757B7" w:rsidRPr="00475670">
        <w:rPr>
          <w:rFonts w:ascii="Times New Roman" w:hAnsi="Times New Roman" w:cs="Times New Roman"/>
          <w:sz w:val="21"/>
          <w:szCs w:val="21"/>
        </w:rPr>
        <w:t xml:space="preserve"> trofozoítos patógenos se diferencian al observar</w:t>
      </w:r>
      <w:r w:rsidR="008B03F0" w:rsidRPr="00475670">
        <w:rPr>
          <w:rFonts w:ascii="Times New Roman" w:hAnsi="Times New Roman" w:cs="Times New Roman"/>
          <w:sz w:val="21"/>
          <w:szCs w:val="21"/>
        </w:rPr>
        <w:t xml:space="preserve"> eritrocitos en el citoplasma</w:t>
      </w:r>
      <w:r w:rsidR="00135173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CC24EF" w:rsidRPr="00475670">
        <w:rPr>
          <w:rFonts w:ascii="Times New Roman" w:hAnsi="Times New Roman" w:cs="Times New Roman"/>
          <w:sz w:val="21"/>
          <w:szCs w:val="21"/>
        </w:rPr>
        <w:t>(1)</w:t>
      </w:r>
      <w:r w:rsidR="008B03F0" w:rsidRPr="00475670">
        <w:rPr>
          <w:rFonts w:ascii="Times New Roman" w:hAnsi="Times New Roman" w:cs="Times New Roman"/>
          <w:sz w:val="21"/>
          <w:szCs w:val="21"/>
        </w:rPr>
        <w:t>.</w:t>
      </w:r>
    </w:p>
    <w:p w:rsidR="008B03F0" w:rsidRPr="00475670" w:rsidRDefault="00205EBA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noProof/>
          <w:sz w:val="21"/>
          <w:szCs w:val="21"/>
          <w:lang w:eastAsia="es-EC"/>
        </w:rPr>
        <w:drawing>
          <wp:anchor distT="0" distB="0" distL="114300" distR="114300" simplePos="0" relativeHeight="251659264" behindDoc="0" locked="0" layoutInCell="1" allowOverlap="1" wp14:anchorId="1C2F0B69" wp14:editId="53D57F5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15950" cy="657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3F0" w:rsidRPr="00475670">
        <w:rPr>
          <w:rFonts w:ascii="Times New Roman" w:hAnsi="Times New Roman" w:cs="Times New Roman"/>
          <w:b/>
          <w:sz w:val="21"/>
          <w:szCs w:val="21"/>
        </w:rPr>
        <w:t>Ciclo de vida</w:t>
      </w:r>
      <w:r w:rsidR="008B03F0" w:rsidRPr="00475670">
        <w:rPr>
          <w:rFonts w:ascii="Times New Roman" w:hAnsi="Times New Roman" w:cs="Times New Roman"/>
          <w:sz w:val="21"/>
          <w:szCs w:val="21"/>
        </w:rPr>
        <w:t>: el quiste es la forma infectante</w:t>
      </w:r>
      <w:r w:rsidR="003942A2" w:rsidRPr="00475670">
        <w:rPr>
          <w:rFonts w:ascii="Times New Roman" w:hAnsi="Times New Roman" w:cs="Times New Roman"/>
          <w:sz w:val="21"/>
          <w:szCs w:val="21"/>
        </w:rPr>
        <w:t xml:space="preserve"> ya que el trofozoíto es destruido por el </w:t>
      </w:r>
      <w:r w:rsidR="00E212BF" w:rsidRPr="00475670">
        <w:rPr>
          <w:rFonts w:ascii="Times New Roman" w:hAnsi="Times New Roman" w:cs="Times New Roman"/>
          <w:sz w:val="21"/>
          <w:szCs w:val="21"/>
        </w:rPr>
        <w:t>jugo</w:t>
      </w:r>
      <w:r w:rsidR="003942A2" w:rsidRPr="00475670">
        <w:rPr>
          <w:rFonts w:ascii="Times New Roman" w:hAnsi="Times New Roman" w:cs="Times New Roman"/>
          <w:sz w:val="21"/>
          <w:szCs w:val="21"/>
        </w:rPr>
        <w:t xml:space="preserve"> gás</w:t>
      </w:r>
      <w:r w:rsidR="00E212BF" w:rsidRPr="00475670">
        <w:rPr>
          <w:rFonts w:ascii="Times New Roman" w:hAnsi="Times New Roman" w:cs="Times New Roman"/>
          <w:sz w:val="21"/>
          <w:szCs w:val="21"/>
        </w:rPr>
        <w:t>trico. El quiste en el duodeno da lugar al trofozoíto</w:t>
      </w:r>
      <w:r w:rsidR="008B03F0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2757B7" w:rsidRPr="00475670">
        <w:rPr>
          <w:rFonts w:ascii="Times New Roman" w:hAnsi="Times New Roman" w:cs="Times New Roman"/>
          <w:sz w:val="21"/>
          <w:szCs w:val="21"/>
        </w:rPr>
        <w:t>que invade la pared del intestino grueso</w:t>
      </w:r>
      <w:r w:rsidR="008B03F0" w:rsidRPr="00475670">
        <w:rPr>
          <w:rFonts w:ascii="Times New Roman" w:hAnsi="Times New Roman" w:cs="Times New Roman"/>
          <w:sz w:val="21"/>
          <w:szCs w:val="21"/>
        </w:rPr>
        <w:t xml:space="preserve"> causando la sin</w:t>
      </w:r>
      <w:r w:rsidR="002757B7" w:rsidRPr="00475670">
        <w:rPr>
          <w:rFonts w:ascii="Times New Roman" w:hAnsi="Times New Roman" w:cs="Times New Roman"/>
          <w:sz w:val="21"/>
          <w:szCs w:val="21"/>
        </w:rPr>
        <w:t>tomatología corre</w:t>
      </w:r>
      <w:r w:rsidR="006F7331" w:rsidRPr="00475670">
        <w:rPr>
          <w:rFonts w:ascii="Times New Roman" w:hAnsi="Times New Roman" w:cs="Times New Roman"/>
          <w:sz w:val="21"/>
          <w:szCs w:val="21"/>
        </w:rPr>
        <w:t>spondiente</w:t>
      </w:r>
      <w:r w:rsidR="00135173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475670" w:rsidRPr="00475670">
        <w:rPr>
          <w:rFonts w:ascii="Times New Roman" w:hAnsi="Times New Roman" w:cs="Times New Roman"/>
          <w:sz w:val="21"/>
          <w:szCs w:val="21"/>
        </w:rPr>
        <w:t>(1,3</w:t>
      </w:r>
      <w:r w:rsidR="00CC24EF" w:rsidRPr="00475670">
        <w:rPr>
          <w:rFonts w:ascii="Times New Roman" w:hAnsi="Times New Roman" w:cs="Times New Roman"/>
          <w:sz w:val="21"/>
          <w:szCs w:val="21"/>
        </w:rPr>
        <w:t>)</w:t>
      </w:r>
      <w:r w:rsidR="006F7331" w:rsidRPr="00475670">
        <w:rPr>
          <w:rFonts w:ascii="Times New Roman" w:hAnsi="Times New Roman" w:cs="Times New Roman"/>
          <w:sz w:val="21"/>
          <w:szCs w:val="21"/>
        </w:rPr>
        <w:t>.</w:t>
      </w:r>
    </w:p>
    <w:p w:rsidR="008B03F0" w:rsidRPr="00475670" w:rsidRDefault="00EB2D2D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noProof/>
          <w:sz w:val="21"/>
          <w:szCs w:val="21"/>
          <w:lang w:eastAsia="es-EC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29E98" wp14:editId="6E0B085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615950" cy="247650"/>
                <wp:effectExtent l="0" t="0" r="127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2D" w:rsidRDefault="00EB2D2D">
                            <w:r>
                              <w:t>Quiste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29E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pt;width:48.5pt;height:19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66JwIAAEw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">
                <v:textbox>
                  <w:txbxContent>
                    <w:p w:rsidR="00EB2D2D" w:rsidRDefault="00EB2D2D">
                      <w:r>
                        <w:t>Quiste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670">
        <w:rPr>
          <w:noProof/>
          <w:sz w:val="21"/>
          <w:szCs w:val="21"/>
          <w:lang w:eastAsia="es-EC"/>
        </w:rPr>
        <w:drawing>
          <wp:anchor distT="0" distB="0" distL="114300" distR="114300" simplePos="0" relativeHeight="251660288" behindDoc="0" locked="0" layoutInCell="1" allowOverlap="1" wp14:anchorId="384B79EC" wp14:editId="429132DE">
            <wp:simplePos x="0" y="0"/>
            <wp:positionH relativeFrom="margin">
              <wp:align>left</wp:align>
            </wp:positionH>
            <wp:positionV relativeFrom="paragraph">
              <wp:posOffset>530225</wp:posOffset>
            </wp:positionV>
            <wp:extent cx="899160" cy="6286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A66" w:rsidRPr="00475670">
        <w:rPr>
          <w:rFonts w:ascii="Times New Roman" w:hAnsi="Times New Roman" w:cs="Times New Roman"/>
          <w:b/>
          <w:sz w:val="21"/>
          <w:szCs w:val="21"/>
        </w:rPr>
        <w:t>Infec</w:t>
      </w:r>
      <w:r w:rsidR="008B03F0" w:rsidRPr="00475670">
        <w:rPr>
          <w:rFonts w:ascii="Times New Roman" w:hAnsi="Times New Roman" w:cs="Times New Roman"/>
          <w:b/>
          <w:sz w:val="21"/>
          <w:szCs w:val="21"/>
        </w:rPr>
        <w:t>ción</w:t>
      </w:r>
      <w:r w:rsidR="008B03F0" w:rsidRPr="00475670">
        <w:rPr>
          <w:rFonts w:ascii="Times New Roman" w:hAnsi="Times New Roman" w:cs="Times New Roman"/>
          <w:sz w:val="21"/>
          <w:szCs w:val="21"/>
        </w:rPr>
        <w:t xml:space="preserve">: se transmite por las </w:t>
      </w:r>
      <w:r w:rsidR="00E91A24" w:rsidRPr="00475670">
        <w:rPr>
          <w:rFonts w:ascii="Times New Roman" w:hAnsi="Times New Roman" w:cs="Times New Roman"/>
          <w:sz w:val="21"/>
          <w:szCs w:val="21"/>
        </w:rPr>
        <w:t>heces,</w:t>
      </w:r>
      <w:r w:rsidR="008B03F0" w:rsidRPr="00475670">
        <w:rPr>
          <w:rFonts w:ascii="Times New Roman" w:hAnsi="Times New Roman" w:cs="Times New Roman"/>
          <w:sz w:val="21"/>
          <w:szCs w:val="21"/>
        </w:rPr>
        <w:t xml:space="preserve"> pero se disemina por agua, manos, artrópodos, alimentos y objetos contaminados, llegando los quistes a l</w:t>
      </w:r>
      <w:r w:rsidR="00273A66" w:rsidRPr="00475670">
        <w:rPr>
          <w:rFonts w:ascii="Times New Roman" w:hAnsi="Times New Roman" w:cs="Times New Roman"/>
          <w:sz w:val="21"/>
          <w:szCs w:val="21"/>
        </w:rPr>
        <w:t>a boca para comenzar la infecc</w:t>
      </w:r>
      <w:r w:rsidR="008B03F0" w:rsidRPr="00475670">
        <w:rPr>
          <w:rFonts w:ascii="Times New Roman" w:hAnsi="Times New Roman" w:cs="Times New Roman"/>
          <w:sz w:val="21"/>
          <w:szCs w:val="21"/>
        </w:rPr>
        <w:t>ión</w:t>
      </w:r>
      <w:r w:rsidR="00E91A24" w:rsidRPr="00475670">
        <w:rPr>
          <w:rFonts w:ascii="Times New Roman" w:hAnsi="Times New Roman" w:cs="Times New Roman"/>
          <w:sz w:val="21"/>
          <w:szCs w:val="21"/>
        </w:rPr>
        <w:t xml:space="preserve">. 10% de las personas con </w:t>
      </w:r>
      <w:r w:rsidR="00E91A24" w:rsidRPr="00475670">
        <w:rPr>
          <w:rFonts w:ascii="Times New Roman" w:hAnsi="Times New Roman" w:cs="Times New Roman"/>
          <w:i/>
          <w:sz w:val="21"/>
          <w:szCs w:val="21"/>
        </w:rPr>
        <w:t>E. histolytica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 en el colon presenta</w:t>
      </w:r>
      <w:r w:rsidR="00E91A24" w:rsidRPr="00475670">
        <w:rPr>
          <w:rFonts w:ascii="Times New Roman" w:hAnsi="Times New Roman" w:cs="Times New Roman"/>
          <w:sz w:val="21"/>
          <w:szCs w:val="21"/>
        </w:rPr>
        <w:t xml:space="preserve"> sintomatología, siendo 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éste </w:t>
      </w:r>
      <w:r w:rsidR="00E91A24" w:rsidRPr="00475670">
        <w:rPr>
          <w:rFonts w:ascii="Times New Roman" w:hAnsi="Times New Roman" w:cs="Times New Roman"/>
          <w:sz w:val="21"/>
          <w:szCs w:val="21"/>
        </w:rPr>
        <w:t>dependiente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 de</w:t>
      </w:r>
      <w:r w:rsidR="00E91A24" w:rsidRPr="00475670">
        <w:rPr>
          <w:rFonts w:ascii="Times New Roman" w:hAnsi="Times New Roman" w:cs="Times New Roman"/>
          <w:sz w:val="21"/>
          <w:szCs w:val="21"/>
        </w:rPr>
        <w:t xml:space="preserve"> la virulencia del parásito y las defensas del huésped</w:t>
      </w:r>
      <w:r w:rsidR="006F7331" w:rsidRPr="00475670">
        <w:rPr>
          <w:rFonts w:ascii="Times New Roman" w:hAnsi="Times New Roman" w:cs="Times New Roman"/>
          <w:sz w:val="21"/>
          <w:szCs w:val="21"/>
        </w:rPr>
        <w:t>.</w:t>
      </w:r>
    </w:p>
    <w:p w:rsidR="00E91A24" w:rsidRPr="00475670" w:rsidRDefault="0080735E" w:rsidP="006F4696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noProof/>
          <w:sz w:val="21"/>
          <w:szCs w:val="21"/>
          <w:lang w:eastAsia="es-EC"/>
        </w:rPr>
        <w:drawing>
          <wp:anchor distT="0" distB="0" distL="114300" distR="114300" simplePos="0" relativeHeight="251658240" behindDoc="0" locked="0" layoutInCell="1" allowOverlap="1" wp14:anchorId="4ABB7421" wp14:editId="1462FC9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14425" cy="923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094" w:rsidRPr="00475670">
        <w:rPr>
          <w:rFonts w:ascii="Times New Roman" w:hAnsi="Times New Roman" w:cs="Times New Roman"/>
          <w:b/>
          <w:noProof/>
          <w:sz w:val="21"/>
          <w:szCs w:val="21"/>
          <w:lang w:eastAsia="es-EC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BBCFD1" wp14:editId="11202B38">
                <wp:simplePos x="0" y="0"/>
                <wp:positionH relativeFrom="margin">
                  <wp:align>left</wp:align>
                </wp:positionH>
                <wp:positionV relativeFrom="paragraph">
                  <wp:posOffset>520700</wp:posOffset>
                </wp:positionV>
                <wp:extent cx="885825" cy="72390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2D" w:rsidRPr="00EB2D2D" w:rsidRDefault="00EB2D2D" w:rsidP="00EB2D2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2D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Trofozoíto patógeno con eritrocitos en el citoplasma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CFD1" id="_x0000_s1027" type="#_x0000_t202" style="position:absolute;left:0;text-align:left;margin-left:0;margin-top:41pt;width:69.75pt;height:5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">
                <v:textbox>
                  <w:txbxContent>
                    <w:p w:rsidR="00EB2D2D" w:rsidRPr="00EB2D2D" w:rsidRDefault="00EB2D2D" w:rsidP="00EB2D2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2D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Trofozoíto patógeno con eritrocitos en el citoplasma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1A24" w:rsidRPr="00475670">
        <w:rPr>
          <w:rFonts w:ascii="Times New Roman" w:hAnsi="Times New Roman" w:cs="Times New Roman"/>
          <w:b/>
          <w:sz w:val="21"/>
          <w:szCs w:val="21"/>
        </w:rPr>
        <w:t>Patología</w:t>
      </w:r>
      <w:r w:rsidR="00E91A24" w:rsidRPr="00475670">
        <w:rPr>
          <w:rFonts w:ascii="Times New Roman" w:hAnsi="Times New Roman" w:cs="Times New Roman"/>
          <w:sz w:val="21"/>
          <w:szCs w:val="21"/>
        </w:rPr>
        <w:t xml:space="preserve">: La </w:t>
      </w:r>
      <w:r w:rsidR="00E91A24" w:rsidRPr="00475670">
        <w:rPr>
          <w:rFonts w:ascii="Times New Roman" w:hAnsi="Times New Roman" w:cs="Times New Roman"/>
          <w:i/>
          <w:sz w:val="21"/>
          <w:szCs w:val="21"/>
        </w:rPr>
        <w:t>E. histolytica</w:t>
      </w:r>
      <w:r w:rsidR="00E91A24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E212BF" w:rsidRPr="00475670">
        <w:rPr>
          <w:rFonts w:ascii="Times New Roman" w:hAnsi="Times New Roman" w:cs="Times New Roman"/>
          <w:sz w:val="21"/>
          <w:szCs w:val="21"/>
        </w:rPr>
        <w:t>comienza</w:t>
      </w:r>
      <w:r w:rsidR="00E91A24" w:rsidRPr="00475670">
        <w:rPr>
          <w:rFonts w:ascii="Times New Roman" w:hAnsi="Times New Roman" w:cs="Times New Roman"/>
          <w:sz w:val="21"/>
          <w:szCs w:val="21"/>
        </w:rPr>
        <w:t xml:space="preserve"> destruyendo tejidos de forma horizontal y con orificios pequeños de entrada generando úlceras en “botón de camisa” en el colon</w:t>
      </w:r>
      <w:r w:rsidR="00B829DB" w:rsidRPr="00475670">
        <w:rPr>
          <w:rFonts w:ascii="Times New Roman" w:hAnsi="Times New Roman" w:cs="Times New Roman"/>
          <w:sz w:val="21"/>
          <w:szCs w:val="21"/>
        </w:rPr>
        <w:t>, llegando a perforarse en casos fatales con mal pronóstico, asociado a mala nutrición y mal estado general</w:t>
      </w:r>
      <w:r w:rsidR="00E212BF" w:rsidRPr="00475670">
        <w:rPr>
          <w:rFonts w:ascii="Times New Roman" w:hAnsi="Times New Roman" w:cs="Times New Roman"/>
          <w:sz w:val="21"/>
          <w:szCs w:val="21"/>
        </w:rPr>
        <w:t xml:space="preserve">. Se </w:t>
      </w:r>
      <w:r w:rsidR="00E91A24" w:rsidRPr="00475670">
        <w:rPr>
          <w:rFonts w:ascii="Times New Roman" w:hAnsi="Times New Roman" w:cs="Times New Roman"/>
          <w:sz w:val="21"/>
          <w:szCs w:val="21"/>
        </w:rPr>
        <w:t>observa una reacción leucocitaria en los si</w:t>
      </w:r>
      <w:r w:rsidR="00E212BF" w:rsidRPr="00475670">
        <w:rPr>
          <w:rFonts w:ascii="Times New Roman" w:hAnsi="Times New Roman" w:cs="Times New Roman"/>
          <w:sz w:val="21"/>
          <w:szCs w:val="21"/>
        </w:rPr>
        <w:t>tios de invasión de los trofozoí</w:t>
      </w:r>
      <w:r w:rsidR="00E91A24" w:rsidRPr="00475670">
        <w:rPr>
          <w:rFonts w:ascii="Times New Roman" w:hAnsi="Times New Roman" w:cs="Times New Roman"/>
          <w:sz w:val="21"/>
          <w:szCs w:val="21"/>
        </w:rPr>
        <w:t>tos</w:t>
      </w:r>
      <w:r w:rsidR="006F7331" w:rsidRPr="00475670">
        <w:rPr>
          <w:rFonts w:ascii="Times New Roman" w:hAnsi="Times New Roman" w:cs="Times New Roman"/>
          <w:sz w:val="21"/>
          <w:szCs w:val="21"/>
        </w:rPr>
        <w:t>.</w:t>
      </w:r>
    </w:p>
    <w:p w:rsidR="00B829DB" w:rsidRPr="00475670" w:rsidRDefault="0080735E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noProof/>
          <w:sz w:val="21"/>
          <w:szCs w:val="21"/>
          <w:lang w:eastAsia="es-EC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A16E79" wp14:editId="73180C0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285875" cy="72390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2D" w:rsidRPr="00EB2D2D" w:rsidRDefault="00EB2D2D" w:rsidP="00EB2D2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Mucosa del colon. Se puede observar un punto denominado “botón de camisa”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6E79" id="_x0000_s1028" type="#_x0000_t202" style="position:absolute;left:0;text-align:left;margin-left:50.05pt;margin-top:.3pt;width:101.25pt;height:5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">
                <v:textbox>
                  <w:txbxContent>
                    <w:p w:rsidR="00EB2D2D" w:rsidRPr="00EB2D2D" w:rsidRDefault="00EB2D2D" w:rsidP="00EB2D2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Mucosa del colon. Se puede observar un punto denominado “botón de camisa”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9DB" w:rsidRPr="00475670">
        <w:rPr>
          <w:rFonts w:ascii="Times New Roman" w:hAnsi="Times New Roman" w:cs="Times New Roman"/>
          <w:b/>
          <w:sz w:val="21"/>
          <w:szCs w:val="21"/>
        </w:rPr>
        <w:t>Mortalidad</w:t>
      </w:r>
      <w:r w:rsidR="00B829DB" w:rsidRPr="00475670">
        <w:rPr>
          <w:rFonts w:ascii="Times New Roman" w:hAnsi="Times New Roman" w:cs="Times New Roman"/>
          <w:sz w:val="21"/>
          <w:szCs w:val="21"/>
        </w:rPr>
        <w:t>:</w:t>
      </w:r>
      <w:r w:rsidR="00E212BF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B829DB" w:rsidRPr="00475670">
        <w:rPr>
          <w:rFonts w:ascii="Times New Roman" w:hAnsi="Times New Roman" w:cs="Times New Roman"/>
          <w:sz w:val="21"/>
          <w:szCs w:val="21"/>
        </w:rPr>
        <w:t>El porcentaje de muertes por causa de amebiasis en América tropical varía dependiendo del país (México 5%, Colombia 3.5%, Venezuela de 1.9 a 6.2%)</w:t>
      </w:r>
      <w:r w:rsidR="00135173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CC24EF" w:rsidRPr="00475670">
        <w:rPr>
          <w:rFonts w:ascii="Times New Roman" w:hAnsi="Times New Roman" w:cs="Times New Roman"/>
          <w:sz w:val="21"/>
          <w:szCs w:val="21"/>
        </w:rPr>
        <w:t>(1)</w:t>
      </w:r>
      <w:r w:rsidR="00B829DB" w:rsidRPr="00475670">
        <w:rPr>
          <w:rFonts w:ascii="Times New Roman" w:hAnsi="Times New Roman" w:cs="Times New Roman"/>
          <w:sz w:val="21"/>
          <w:szCs w:val="21"/>
        </w:rPr>
        <w:t>.</w:t>
      </w:r>
    </w:p>
    <w:p w:rsidR="00EF0DE4" w:rsidRPr="00475670" w:rsidRDefault="001E0E29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Manifestaciones clínicas</w:t>
      </w:r>
      <w:r w:rsidRPr="00475670">
        <w:rPr>
          <w:rFonts w:ascii="Times New Roman" w:hAnsi="Times New Roman" w:cs="Times New Roman"/>
          <w:sz w:val="21"/>
          <w:szCs w:val="21"/>
        </w:rPr>
        <w:t xml:space="preserve">: </w:t>
      </w:r>
      <w:r w:rsidR="00EB2D2D" w:rsidRPr="00475670">
        <w:rPr>
          <w:rFonts w:ascii="Times New Roman" w:hAnsi="Times New Roman" w:cs="Times New Roman"/>
          <w:sz w:val="21"/>
          <w:szCs w:val="21"/>
        </w:rPr>
        <w:t>El</w:t>
      </w:r>
      <w:r w:rsidRPr="00475670">
        <w:rPr>
          <w:rFonts w:ascii="Times New Roman" w:hAnsi="Times New Roman" w:cs="Times New Roman"/>
          <w:sz w:val="21"/>
          <w:szCs w:val="21"/>
        </w:rPr>
        <w:t xml:space="preserve"> cuadro clínico es parecido al de otras etiologías, llevando a veces al 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sobrediagnóstico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 de amebiasis. </w:t>
      </w:r>
      <w:r w:rsidR="00BD6A85">
        <w:rPr>
          <w:rFonts w:ascii="Times New Roman" w:hAnsi="Times New Roman" w:cs="Times New Roman"/>
          <w:sz w:val="21"/>
          <w:szCs w:val="21"/>
        </w:rPr>
        <w:t>Es importante mencionar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 que el 90% de amebiasis son</w:t>
      </w:r>
      <w:r w:rsidRPr="00475670">
        <w:rPr>
          <w:rFonts w:ascii="Times New Roman" w:hAnsi="Times New Roman" w:cs="Times New Roman"/>
          <w:sz w:val="21"/>
          <w:szCs w:val="21"/>
        </w:rPr>
        <w:t xml:space="preserve"> asintomática</w:t>
      </w:r>
      <w:r w:rsidR="006F7331" w:rsidRPr="00475670">
        <w:rPr>
          <w:rFonts w:ascii="Times New Roman" w:hAnsi="Times New Roman" w:cs="Times New Roman"/>
          <w:sz w:val="21"/>
          <w:szCs w:val="21"/>
        </w:rPr>
        <w:t>s y</w:t>
      </w:r>
      <w:r w:rsidRPr="00475670">
        <w:rPr>
          <w:rFonts w:ascii="Times New Roman" w:hAnsi="Times New Roman" w:cs="Times New Roman"/>
          <w:sz w:val="21"/>
          <w:szCs w:val="21"/>
        </w:rPr>
        <w:t xml:space="preserve"> causado</w:t>
      </w:r>
      <w:r w:rsidR="006F7331" w:rsidRPr="00475670">
        <w:rPr>
          <w:rFonts w:ascii="Times New Roman" w:hAnsi="Times New Roman" w:cs="Times New Roman"/>
          <w:sz w:val="21"/>
          <w:szCs w:val="21"/>
        </w:rPr>
        <w:t>s</w:t>
      </w:r>
      <w:r w:rsidRPr="00475670">
        <w:rPr>
          <w:rFonts w:ascii="Times New Roman" w:hAnsi="Times New Roman" w:cs="Times New Roman"/>
          <w:sz w:val="21"/>
          <w:szCs w:val="21"/>
        </w:rPr>
        <w:t xml:space="preserve"> por </w:t>
      </w:r>
      <w:r w:rsidRPr="00BD6A85">
        <w:rPr>
          <w:rFonts w:ascii="Times New Roman" w:hAnsi="Times New Roman" w:cs="Times New Roman"/>
          <w:i/>
          <w:sz w:val="21"/>
          <w:szCs w:val="21"/>
        </w:rPr>
        <w:t>E. dispar</w:t>
      </w:r>
      <w:r w:rsidRPr="00475670">
        <w:rPr>
          <w:rFonts w:ascii="Times New Roman" w:hAnsi="Times New Roman" w:cs="Times New Roman"/>
          <w:sz w:val="21"/>
          <w:szCs w:val="21"/>
        </w:rPr>
        <w:t xml:space="preserve"> principalmente</w:t>
      </w:r>
      <w:r w:rsidR="00EF0DE4" w:rsidRPr="00475670">
        <w:rPr>
          <w:rFonts w:ascii="Times New Roman" w:hAnsi="Times New Roman" w:cs="Times New Roman"/>
          <w:sz w:val="21"/>
          <w:szCs w:val="21"/>
        </w:rPr>
        <w:t>.</w:t>
      </w:r>
      <w:r w:rsidR="00AF35B9" w:rsidRPr="00475670">
        <w:rPr>
          <w:rFonts w:ascii="Times New Roman" w:hAnsi="Times New Roman" w:cs="Times New Roman"/>
          <w:sz w:val="21"/>
          <w:szCs w:val="21"/>
        </w:rPr>
        <w:t xml:space="preserve"> Los sitios más frecuentes de infección son en el ciego, </w:t>
      </w:r>
      <w:proofErr w:type="spellStart"/>
      <w:r w:rsidR="00AF35B9" w:rsidRPr="00475670">
        <w:rPr>
          <w:rFonts w:ascii="Times New Roman" w:hAnsi="Times New Roman" w:cs="Times New Roman"/>
          <w:sz w:val="21"/>
          <w:szCs w:val="21"/>
        </w:rPr>
        <w:t>sigmoide</w:t>
      </w:r>
      <w:proofErr w:type="spellEnd"/>
      <w:r w:rsidR="00AF35B9" w:rsidRPr="00475670">
        <w:rPr>
          <w:rFonts w:ascii="Times New Roman" w:hAnsi="Times New Roman" w:cs="Times New Roman"/>
          <w:sz w:val="21"/>
          <w:szCs w:val="21"/>
        </w:rPr>
        <w:t xml:space="preserve"> y recto</w:t>
      </w:r>
      <w:r w:rsidR="00135173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CC24EF" w:rsidRPr="00475670">
        <w:rPr>
          <w:rFonts w:ascii="Times New Roman" w:hAnsi="Times New Roman" w:cs="Times New Roman"/>
          <w:sz w:val="21"/>
          <w:szCs w:val="21"/>
        </w:rPr>
        <w:t>(1,2)</w:t>
      </w:r>
      <w:r w:rsidR="00EB2D2D" w:rsidRPr="00475670">
        <w:rPr>
          <w:rFonts w:ascii="Times New Roman" w:hAnsi="Times New Roman" w:cs="Times New Roman"/>
          <w:sz w:val="21"/>
          <w:szCs w:val="21"/>
        </w:rPr>
        <w:t>.</w:t>
      </w:r>
    </w:p>
    <w:p w:rsidR="00AF35B9" w:rsidRPr="00475670" w:rsidRDefault="00AF35B9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sz w:val="21"/>
          <w:szCs w:val="21"/>
        </w:rPr>
        <w:t>Se presentan las siguientes condiciones</w:t>
      </w:r>
      <w:r w:rsidR="006F7331" w:rsidRPr="00475670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0"/>
        <w:gridCol w:w="6940"/>
      </w:tblGrid>
      <w:tr w:rsidR="00475670" w:rsidRPr="00475670" w:rsidTr="002535CC">
        <w:tc>
          <w:tcPr>
            <w:tcW w:w="1170" w:type="pct"/>
            <w:vAlign w:val="center"/>
          </w:tcPr>
          <w:p w:rsidR="00AF35B9" w:rsidRPr="00475670" w:rsidRDefault="00AF35B9" w:rsidP="00205EB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Colitis ulcerativa</w:t>
            </w:r>
          </w:p>
        </w:tc>
        <w:tc>
          <w:tcPr>
            <w:tcW w:w="3830" w:type="pct"/>
          </w:tcPr>
          <w:p w:rsidR="00AF35B9" w:rsidRPr="00475670" w:rsidRDefault="00AF35B9" w:rsidP="00AF35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Se diferencia de varias etiologías por la ausencia de regeneración epitelial. Las lesiones se presentan sólo en el colon</w:t>
            </w:r>
          </w:p>
        </w:tc>
      </w:tr>
      <w:tr w:rsidR="00475670" w:rsidRPr="00475670" w:rsidTr="002535CC">
        <w:tc>
          <w:tcPr>
            <w:tcW w:w="1170" w:type="pct"/>
            <w:vAlign w:val="center"/>
          </w:tcPr>
          <w:p w:rsidR="00AF35B9" w:rsidRPr="00475670" w:rsidRDefault="00AF35B9" w:rsidP="00205EB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Colitis no disentérica crónica</w:t>
            </w:r>
          </w:p>
        </w:tc>
        <w:tc>
          <w:tcPr>
            <w:tcW w:w="3830" w:type="pct"/>
          </w:tcPr>
          <w:p w:rsidR="00AF35B9" w:rsidRPr="00475670" w:rsidRDefault="00AF35B9" w:rsidP="00AF35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Años de diarreas intermitentes, acompañado de un cuadro inespecífico de náusea que lleva al vómito, malestar general, dolor, diarrea, entre otros.</w:t>
            </w:r>
          </w:p>
        </w:tc>
      </w:tr>
      <w:tr w:rsidR="00475670" w:rsidRPr="00475670" w:rsidTr="002535CC">
        <w:tc>
          <w:tcPr>
            <w:tcW w:w="1170" w:type="pct"/>
            <w:vAlign w:val="center"/>
          </w:tcPr>
          <w:p w:rsidR="00AF35B9" w:rsidRPr="00475670" w:rsidRDefault="00205EBA" w:rsidP="00205EB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Ameboma</w:t>
            </w:r>
            <w:proofErr w:type="spellEnd"/>
          </w:p>
        </w:tc>
        <w:tc>
          <w:tcPr>
            <w:tcW w:w="3830" w:type="pct"/>
          </w:tcPr>
          <w:p w:rsidR="00AF35B9" w:rsidRPr="00475670" w:rsidRDefault="00205EBA" w:rsidP="00AF35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Casi nunca es identificado, el organismo reacciona de manera exagerada contra la ameba y forma tejidos de granulación comúnmente en el ciego y colon ascendente</w:t>
            </w:r>
          </w:p>
        </w:tc>
      </w:tr>
      <w:tr w:rsidR="00475670" w:rsidRPr="00475670" w:rsidTr="002535CC">
        <w:tc>
          <w:tcPr>
            <w:tcW w:w="1170" w:type="pct"/>
            <w:vAlign w:val="center"/>
          </w:tcPr>
          <w:p w:rsidR="00205EBA" w:rsidRPr="00475670" w:rsidRDefault="00205EBA" w:rsidP="00205EB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Disentería fulminante</w:t>
            </w:r>
          </w:p>
        </w:tc>
        <w:tc>
          <w:tcPr>
            <w:tcW w:w="3830" w:type="pct"/>
          </w:tcPr>
          <w:p w:rsidR="00205EBA" w:rsidRPr="00475670" w:rsidRDefault="00205EBA" w:rsidP="00AF35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Rara, con destrucción intenta de la pared intestinal acompañado de perforaciones múltiples, pudiendo llegar a peritonitis</w:t>
            </w:r>
          </w:p>
        </w:tc>
      </w:tr>
      <w:tr w:rsidR="00205EBA" w:rsidRPr="00475670" w:rsidTr="002535CC">
        <w:tc>
          <w:tcPr>
            <w:tcW w:w="1170" w:type="pct"/>
            <w:vAlign w:val="center"/>
          </w:tcPr>
          <w:p w:rsidR="00205EBA" w:rsidRPr="00475670" w:rsidRDefault="00205EBA" w:rsidP="00205EB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Rectocolitis</w:t>
            </w:r>
            <w:proofErr w:type="spellEnd"/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aguda</w:t>
            </w:r>
          </w:p>
        </w:tc>
        <w:tc>
          <w:tcPr>
            <w:tcW w:w="3830" w:type="pct"/>
          </w:tcPr>
          <w:p w:rsidR="00205EBA" w:rsidRPr="00475670" w:rsidRDefault="00205EBA" w:rsidP="00205EB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Cuadro con deposiciones sanguinolentas y mucosas, acompañado de dolor, compromiso del estado general y pérdida de peso</w:t>
            </w:r>
            <w:r w:rsidR="00135173" w:rsidRPr="004756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C24EF" w:rsidRPr="00475670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EF0DE4" w:rsidRPr="00475670" w:rsidRDefault="00EF0DE4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F0DE4" w:rsidRPr="00475670" w:rsidRDefault="00EF0DE4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Diagnóstico</w:t>
      </w:r>
      <w:r w:rsidRPr="00475670">
        <w:rPr>
          <w:rFonts w:ascii="Times New Roman" w:hAnsi="Times New Roman" w:cs="Times New Roman"/>
          <w:sz w:val="21"/>
          <w:szCs w:val="21"/>
        </w:rPr>
        <w:t xml:space="preserve">: Debe ser primero clínico y después comprobar con </w:t>
      </w:r>
      <w:r w:rsidR="00BD6A85">
        <w:rPr>
          <w:rFonts w:ascii="Times New Roman" w:hAnsi="Times New Roman" w:cs="Times New Roman"/>
          <w:sz w:val="21"/>
          <w:szCs w:val="21"/>
        </w:rPr>
        <w:t>el resultado con el</w:t>
      </w:r>
      <w:r w:rsidRPr="00475670">
        <w:rPr>
          <w:rFonts w:ascii="Times New Roman" w:hAnsi="Times New Roman" w:cs="Times New Roman"/>
          <w:sz w:val="21"/>
          <w:szCs w:val="21"/>
        </w:rPr>
        <w:t xml:space="preserve"> laboratorio. Sin </w:t>
      </w:r>
      <w:r w:rsidR="00205EBA" w:rsidRPr="00475670">
        <w:rPr>
          <w:rFonts w:ascii="Times New Roman" w:hAnsi="Times New Roman" w:cs="Times New Roman"/>
          <w:sz w:val="21"/>
          <w:szCs w:val="21"/>
        </w:rPr>
        <w:t>embargo,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 una</w:t>
      </w:r>
      <w:r w:rsidRPr="00475670">
        <w:rPr>
          <w:rFonts w:ascii="Times New Roman" w:hAnsi="Times New Roman" w:cs="Times New Roman"/>
          <w:sz w:val="21"/>
          <w:szCs w:val="21"/>
        </w:rPr>
        <w:t xml:space="preserve"> diarrea no característica puede ser causado por diversos agentes como rotavirus, </w:t>
      </w:r>
      <w:r w:rsidRPr="00475670">
        <w:rPr>
          <w:rFonts w:ascii="Times New Roman" w:hAnsi="Times New Roman" w:cs="Times New Roman"/>
          <w:i/>
          <w:sz w:val="21"/>
          <w:szCs w:val="21"/>
        </w:rPr>
        <w:t>Salmonella sp, E.</w:t>
      </w:r>
      <w:r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Pr="00475670">
        <w:rPr>
          <w:rFonts w:ascii="Times New Roman" w:hAnsi="Times New Roman" w:cs="Times New Roman"/>
          <w:i/>
          <w:sz w:val="21"/>
          <w:szCs w:val="21"/>
        </w:rPr>
        <w:t>coli</w:t>
      </w:r>
      <w:r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Pr="00BD6A85">
        <w:rPr>
          <w:rFonts w:ascii="Times New Roman" w:hAnsi="Times New Roman" w:cs="Times New Roman"/>
          <w:i/>
          <w:sz w:val="21"/>
          <w:szCs w:val="21"/>
        </w:rPr>
        <w:t>enteropatógeno</w:t>
      </w:r>
      <w:r w:rsidR="00B57094" w:rsidRPr="00475670">
        <w:rPr>
          <w:rFonts w:ascii="Times New Roman" w:hAnsi="Times New Roman" w:cs="Times New Roman"/>
          <w:sz w:val="21"/>
          <w:szCs w:val="21"/>
        </w:rPr>
        <w:t>,</w:t>
      </w:r>
      <w:r w:rsidRPr="00475670">
        <w:rPr>
          <w:rFonts w:ascii="Times New Roman" w:hAnsi="Times New Roman" w:cs="Times New Roman"/>
          <w:sz w:val="21"/>
          <w:szCs w:val="21"/>
        </w:rPr>
        <w:t xml:space="preserve"> entre otros.</w:t>
      </w:r>
      <w:r w:rsidR="003B36BC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CC24EF" w:rsidRPr="00475670">
        <w:rPr>
          <w:rFonts w:ascii="Times New Roman" w:hAnsi="Times New Roman" w:cs="Times New Roman"/>
          <w:sz w:val="21"/>
          <w:szCs w:val="21"/>
        </w:rPr>
        <w:t>Además,</w:t>
      </w:r>
      <w:r w:rsidR="003B36BC" w:rsidRPr="00475670">
        <w:rPr>
          <w:rFonts w:ascii="Times New Roman" w:hAnsi="Times New Roman" w:cs="Times New Roman"/>
          <w:sz w:val="21"/>
          <w:szCs w:val="21"/>
        </w:rPr>
        <w:t xml:space="preserve"> diferenciar de otras enfermedades no infecciosas que produc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en </w:t>
      </w:r>
      <w:proofErr w:type="spellStart"/>
      <w:r w:rsidR="006F7331" w:rsidRPr="00475670">
        <w:rPr>
          <w:rFonts w:ascii="Times New Roman" w:hAnsi="Times New Roman" w:cs="Times New Roman"/>
          <w:sz w:val="21"/>
          <w:szCs w:val="21"/>
        </w:rPr>
        <w:t>colitits</w:t>
      </w:r>
      <w:proofErr w:type="spellEnd"/>
      <w:r w:rsidR="006F7331" w:rsidRPr="00475670">
        <w:rPr>
          <w:rFonts w:ascii="Times New Roman" w:hAnsi="Times New Roman" w:cs="Times New Roman"/>
          <w:sz w:val="21"/>
          <w:szCs w:val="21"/>
        </w:rPr>
        <w:t xml:space="preserve"> como: c</w:t>
      </w:r>
      <w:r w:rsidR="003B36BC" w:rsidRPr="00475670">
        <w:rPr>
          <w:rFonts w:ascii="Times New Roman" w:hAnsi="Times New Roman" w:cs="Times New Roman"/>
          <w:sz w:val="21"/>
          <w:szCs w:val="21"/>
        </w:rPr>
        <w:t xml:space="preserve">olon irritable, </w:t>
      </w:r>
      <w:proofErr w:type="spellStart"/>
      <w:r w:rsidR="003B36BC" w:rsidRPr="00475670">
        <w:rPr>
          <w:rFonts w:ascii="Times New Roman" w:hAnsi="Times New Roman" w:cs="Times New Roman"/>
          <w:sz w:val="21"/>
          <w:szCs w:val="21"/>
        </w:rPr>
        <w:t>diver</w:t>
      </w:r>
      <w:r w:rsidR="006F7331" w:rsidRPr="00475670">
        <w:rPr>
          <w:rFonts w:ascii="Times New Roman" w:hAnsi="Times New Roman" w:cs="Times New Roman"/>
          <w:sz w:val="21"/>
          <w:szCs w:val="21"/>
        </w:rPr>
        <w:t>ticuliti</w:t>
      </w:r>
      <w:r w:rsidR="003B36BC" w:rsidRPr="00475670">
        <w:rPr>
          <w:rFonts w:ascii="Times New Roman" w:hAnsi="Times New Roman" w:cs="Times New Roman"/>
          <w:sz w:val="21"/>
          <w:szCs w:val="21"/>
        </w:rPr>
        <w:t>s</w:t>
      </w:r>
      <w:proofErr w:type="spellEnd"/>
      <w:r w:rsidR="003B36BC" w:rsidRPr="00475670">
        <w:rPr>
          <w:rFonts w:ascii="Times New Roman" w:hAnsi="Times New Roman" w:cs="Times New Roman"/>
          <w:sz w:val="21"/>
          <w:szCs w:val="21"/>
        </w:rPr>
        <w:t xml:space="preserve">, adenocarcinoma, entre otros. </w:t>
      </w:r>
    </w:p>
    <w:p w:rsidR="006A5F3E" w:rsidRPr="00475670" w:rsidRDefault="006A5F3E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Examen coprológico</w:t>
      </w:r>
      <w:r w:rsidRPr="00475670">
        <w:rPr>
          <w:rFonts w:ascii="Times New Roman" w:hAnsi="Times New Roman" w:cs="Times New Roman"/>
          <w:sz w:val="21"/>
          <w:szCs w:val="21"/>
        </w:rPr>
        <w:t>: Macroscópicamente si se observa sangre y moco debe sospecharse de una amebiasis. E</w:t>
      </w:r>
      <w:r w:rsidR="006F7331" w:rsidRPr="00475670">
        <w:rPr>
          <w:rFonts w:ascii="Times New Roman" w:hAnsi="Times New Roman" w:cs="Times New Roman"/>
          <w:sz w:val="21"/>
          <w:szCs w:val="21"/>
        </w:rPr>
        <w:t>n el examen microscópico se reco</w:t>
      </w:r>
      <w:r w:rsidRPr="00475670">
        <w:rPr>
          <w:rFonts w:ascii="Times New Roman" w:hAnsi="Times New Roman" w:cs="Times New Roman"/>
          <w:sz w:val="21"/>
          <w:szCs w:val="21"/>
        </w:rPr>
        <w:t>nocen quistes y trofozoítos que son examinados con soluci</w:t>
      </w:r>
      <w:r w:rsidR="006F7331" w:rsidRPr="00475670">
        <w:rPr>
          <w:rFonts w:ascii="Times New Roman" w:hAnsi="Times New Roman" w:cs="Times New Roman"/>
          <w:sz w:val="21"/>
          <w:szCs w:val="21"/>
        </w:rPr>
        <w:t>ón salina u otros preparados como</w:t>
      </w:r>
      <w:r w:rsidRPr="0047567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lugol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, hematoxilina, entre otros. Se recomienda </w:t>
      </w:r>
      <w:r w:rsidR="00BD6A85">
        <w:rPr>
          <w:rFonts w:ascii="Times New Roman" w:hAnsi="Times New Roman" w:cs="Times New Roman"/>
          <w:sz w:val="21"/>
          <w:szCs w:val="21"/>
        </w:rPr>
        <w:t xml:space="preserve">realizar un estudio coprológico </w:t>
      </w:r>
      <w:r w:rsidR="00BD6A85">
        <w:rPr>
          <w:rFonts w:ascii="Times New Roman" w:hAnsi="Times New Roman" w:cs="Times New Roman"/>
          <w:sz w:val="21"/>
          <w:szCs w:val="21"/>
        </w:rPr>
        <w:lastRenderedPageBreak/>
        <w:t>seriado</w:t>
      </w:r>
      <w:r w:rsidRPr="00475670">
        <w:rPr>
          <w:rFonts w:ascii="Times New Roman" w:hAnsi="Times New Roman" w:cs="Times New Roman"/>
          <w:sz w:val="21"/>
          <w:szCs w:val="21"/>
        </w:rPr>
        <w:t xml:space="preserve"> (3 distintos exámenes en un periodo de 10 días) para aumentar la sensibilidad/especificidad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 de la prueba</w:t>
      </w:r>
      <w:r w:rsidRPr="00475670">
        <w:rPr>
          <w:rFonts w:ascii="Times New Roman" w:hAnsi="Times New Roman" w:cs="Times New Roman"/>
          <w:sz w:val="21"/>
          <w:szCs w:val="21"/>
        </w:rPr>
        <w:t>.</w:t>
      </w:r>
    </w:p>
    <w:p w:rsidR="00EF0DE4" w:rsidRPr="00475670" w:rsidRDefault="006A5F3E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Otros exámenes</w:t>
      </w:r>
      <w:r w:rsidR="006F7331" w:rsidRPr="00475670">
        <w:rPr>
          <w:rFonts w:ascii="Times New Roman" w:hAnsi="Times New Roman" w:cs="Times New Roman"/>
          <w:sz w:val="21"/>
          <w:szCs w:val="21"/>
        </w:rPr>
        <w:t>: s</w:t>
      </w:r>
      <w:r w:rsidRPr="00475670">
        <w:rPr>
          <w:rFonts w:ascii="Times New Roman" w:hAnsi="Times New Roman" w:cs="Times New Roman"/>
          <w:sz w:val="21"/>
          <w:szCs w:val="21"/>
        </w:rPr>
        <w:t>e puede</w:t>
      </w:r>
      <w:r w:rsidR="006F7331" w:rsidRPr="00475670">
        <w:rPr>
          <w:rFonts w:ascii="Times New Roman" w:hAnsi="Times New Roman" w:cs="Times New Roman"/>
          <w:sz w:val="21"/>
          <w:szCs w:val="21"/>
        </w:rPr>
        <w:t>n</w:t>
      </w:r>
      <w:r w:rsidRPr="00475670">
        <w:rPr>
          <w:rFonts w:ascii="Times New Roman" w:hAnsi="Times New Roman" w:cs="Times New Roman"/>
          <w:sz w:val="21"/>
          <w:szCs w:val="21"/>
        </w:rPr>
        <w:t xml:space="preserve"> hacer cortes histológicos de úlceras en la amebiasis intes</w:t>
      </w:r>
      <w:r w:rsidR="006F7331" w:rsidRPr="00475670">
        <w:rPr>
          <w:rFonts w:ascii="Times New Roman" w:hAnsi="Times New Roman" w:cs="Times New Roman"/>
          <w:sz w:val="21"/>
          <w:szCs w:val="21"/>
        </w:rPr>
        <w:t>tinal; p</w:t>
      </w:r>
      <w:r w:rsidR="00B02F84" w:rsidRPr="00475670">
        <w:rPr>
          <w:rFonts w:ascii="Times New Roman" w:hAnsi="Times New Roman" w:cs="Times New Roman"/>
          <w:sz w:val="21"/>
          <w:szCs w:val="21"/>
        </w:rPr>
        <w:t xml:space="preserve">ruebas genéticas como </w:t>
      </w:r>
      <w:proofErr w:type="spellStart"/>
      <w:r w:rsidR="00B02F84" w:rsidRPr="00475670">
        <w:rPr>
          <w:rFonts w:ascii="Times New Roman" w:hAnsi="Times New Roman" w:cs="Times New Roman"/>
          <w:sz w:val="21"/>
          <w:szCs w:val="21"/>
        </w:rPr>
        <w:t>PCR</w:t>
      </w:r>
      <w:proofErr w:type="spellEnd"/>
      <w:r w:rsidR="00B02F84" w:rsidRPr="00475670">
        <w:rPr>
          <w:rFonts w:ascii="Times New Roman" w:hAnsi="Times New Roman" w:cs="Times New Roman"/>
          <w:sz w:val="21"/>
          <w:szCs w:val="21"/>
        </w:rPr>
        <w:t xml:space="preserve">; la presencia de anticuerpos mediante </w:t>
      </w:r>
      <w:r w:rsidR="00C05B09" w:rsidRPr="00475670">
        <w:rPr>
          <w:rFonts w:ascii="Times New Roman" w:hAnsi="Times New Roman" w:cs="Times New Roman"/>
          <w:sz w:val="21"/>
          <w:szCs w:val="21"/>
        </w:rPr>
        <w:t>pruebas serológicas</w:t>
      </w:r>
      <w:r w:rsidR="006F7331" w:rsidRPr="00475670">
        <w:rPr>
          <w:rFonts w:ascii="Times New Roman" w:hAnsi="Times New Roman" w:cs="Times New Roman"/>
          <w:sz w:val="21"/>
          <w:szCs w:val="21"/>
        </w:rPr>
        <w:t>.</w:t>
      </w:r>
    </w:p>
    <w:p w:rsidR="00C05B09" w:rsidRPr="00475670" w:rsidRDefault="00C05B09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Epidemiología</w:t>
      </w:r>
      <w:r w:rsidRPr="00475670">
        <w:rPr>
          <w:rFonts w:ascii="Times New Roman" w:hAnsi="Times New Roman" w:cs="Times New Roman"/>
          <w:sz w:val="21"/>
          <w:szCs w:val="21"/>
        </w:rPr>
        <w:t xml:space="preserve">: estos protozoos tienen una prevalencia alta y variada en países pobres, entre 4 a 15%. Un estudio en una zona rural de Esmeraldas, Ecuador, mostró un 98,7% de parasitismo intestinal, donde el 27% dio positivo para </w:t>
      </w:r>
      <w:r w:rsidRPr="007308DA">
        <w:rPr>
          <w:rFonts w:ascii="Times New Roman" w:hAnsi="Times New Roman" w:cs="Times New Roman"/>
          <w:i/>
          <w:sz w:val="21"/>
          <w:szCs w:val="21"/>
        </w:rPr>
        <w:t>E. histolytica/dispar.</w:t>
      </w:r>
    </w:p>
    <w:p w:rsidR="00C05B09" w:rsidRPr="00475670" w:rsidRDefault="00C05B09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Fuente de infección</w:t>
      </w:r>
      <w:r w:rsidR="00072885">
        <w:rPr>
          <w:rFonts w:ascii="Times New Roman" w:hAnsi="Times New Roman" w:cs="Times New Roman"/>
          <w:sz w:val="21"/>
          <w:szCs w:val="21"/>
        </w:rPr>
        <w:t>: e</w:t>
      </w:r>
      <w:r w:rsidRPr="00475670">
        <w:rPr>
          <w:rFonts w:ascii="Times New Roman" w:hAnsi="Times New Roman" w:cs="Times New Roman"/>
          <w:sz w:val="21"/>
          <w:szCs w:val="21"/>
        </w:rPr>
        <w:t xml:space="preserve">n la amebiasis humana es el hombre, recordando que la única forma infectante es el quiste, mostrando ser las personas </w:t>
      </w:r>
      <w:r w:rsidR="002522A8" w:rsidRPr="00475670">
        <w:rPr>
          <w:rFonts w:ascii="Times New Roman" w:hAnsi="Times New Roman" w:cs="Times New Roman"/>
          <w:sz w:val="21"/>
          <w:szCs w:val="21"/>
        </w:rPr>
        <w:t>asintomáticas</w:t>
      </w:r>
      <w:r w:rsidRPr="00475670">
        <w:rPr>
          <w:rFonts w:ascii="Times New Roman" w:hAnsi="Times New Roman" w:cs="Times New Roman"/>
          <w:sz w:val="21"/>
          <w:szCs w:val="21"/>
        </w:rPr>
        <w:t xml:space="preserve"> los mayores </w:t>
      </w:r>
      <w:r w:rsidR="002522A8" w:rsidRPr="00475670">
        <w:rPr>
          <w:rFonts w:ascii="Times New Roman" w:hAnsi="Times New Roman" w:cs="Times New Roman"/>
          <w:sz w:val="21"/>
          <w:szCs w:val="21"/>
        </w:rPr>
        <w:t>transmisores por la falta de tratamiento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 al parásito</w:t>
      </w:r>
      <w:r w:rsidR="002522A8" w:rsidRPr="00475670">
        <w:rPr>
          <w:rFonts w:ascii="Times New Roman" w:hAnsi="Times New Roman" w:cs="Times New Roman"/>
          <w:sz w:val="21"/>
          <w:szCs w:val="21"/>
        </w:rPr>
        <w:t>. Entonces se puede decir que los pacientes asintomáticos son importantes desde el punto de vista epidemiológico, y los pacientes sintomáticos son los importantes desde el punto de vista clínico.</w:t>
      </w:r>
    </w:p>
    <w:p w:rsidR="00AA287D" w:rsidRPr="00475670" w:rsidRDefault="002522A8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Prevención</w:t>
      </w:r>
      <w:r w:rsidRPr="00475670">
        <w:rPr>
          <w:rFonts w:ascii="Times New Roman" w:hAnsi="Times New Roman" w:cs="Times New Roman"/>
          <w:sz w:val="21"/>
          <w:szCs w:val="21"/>
        </w:rPr>
        <w:t xml:space="preserve">: </w:t>
      </w:r>
      <w:r w:rsidR="0090412A" w:rsidRPr="00475670">
        <w:rPr>
          <w:rFonts w:ascii="Times New Roman" w:hAnsi="Times New Roman" w:cs="Times New Roman"/>
          <w:sz w:val="21"/>
          <w:szCs w:val="21"/>
        </w:rPr>
        <w:t>Buen lavado de manos y alimentos ya que cantidades muy pequeñas de materia f</w:t>
      </w:r>
      <w:r w:rsidR="006F7331" w:rsidRPr="00475670">
        <w:rPr>
          <w:rFonts w:ascii="Times New Roman" w:hAnsi="Times New Roman" w:cs="Times New Roman"/>
          <w:sz w:val="21"/>
          <w:szCs w:val="21"/>
        </w:rPr>
        <w:t xml:space="preserve">ecal puede causar </w:t>
      </w:r>
      <w:r w:rsidR="00AA287D" w:rsidRPr="00475670">
        <w:rPr>
          <w:rFonts w:ascii="Times New Roman" w:hAnsi="Times New Roman" w:cs="Times New Roman"/>
          <w:sz w:val="21"/>
          <w:szCs w:val="21"/>
        </w:rPr>
        <w:t>la infección</w:t>
      </w:r>
      <w:r w:rsidR="006F7331" w:rsidRPr="00475670">
        <w:rPr>
          <w:rFonts w:ascii="Times New Roman" w:hAnsi="Times New Roman" w:cs="Times New Roman"/>
          <w:sz w:val="21"/>
          <w:szCs w:val="21"/>
        </w:rPr>
        <w:t>. E</w:t>
      </w:r>
      <w:r w:rsidR="0090412A" w:rsidRPr="00475670">
        <w:rPr>
          <w:rFonts w:ascii="Times New Roman" w:hAnsi="Times New Roman" w:cs="Times New Roman"/>
          <w:sz w:val="21"/>
          <w:szCs w:val="21"/>
        </w:rPr>
        <w:t>l saneamiento ambiental es</w:t>
      </w:r>
      <w:r w:rsidR="00072885">
        <w:rPr>
          <w:rFonts w:ascii="Times New Roman" w:hAnsi="Times New Roman" w:cs="Times New Roman"/>
          <w:sz w:val="21"/>
          <w:szCs w:val="21"/>
        </w:rPr>
        <w:t xml:space="preserve"> también</w:t>
      </w:r>
      <w:r w:rsidR="0090412A" w:rsidRPr="00475670">
        <w:rPr>
          <w:rFonts w:ascii="Times New Roman" w:hAnsi="Times New Roman" w:cs="Times New Roman"/>
          <w:sz w:val="21"/>
          <w:szCs w:val="21"/>
        </w:rPr>
        <w:t xml:space="preserve"> un factor </w:t>
      </w:r>
      <w:r w:rsidR="006F7331" w:rsidRPr="00475670">
        <w:rPr>
          <w:rFonts w:ascii="Times New Roman" w:hAnsi="Times New Roman" w:cs="Times New Roman"/>
          <w:sz w:val="21"/>
          <w:szCs w:val="21"/>
        </w:rPr>
        <w:t>importante para disminuir la incidencia,</w:t>
      </w:r>
      <w:r w:rsidR="00AA287D" w:rsidRPr="00475670">
        <w:rPr>
          <w:rFonts w:ascii="Times New Roman" w:hAnsi="Times New Roman" w:cs="Times New Roman"/>
          <w:sz w:val="21"/>
          <w:szCs w:val="21"/>
        </w:rPr>
        <w:t xml:space="preserve"> así como el agua bien tratada</w:t>
      </w:r>
      <w:r w:rsidR="00475670" w:rsidRPr="00475670">
        <w:rPr>
          <w:rFonts w:ascii="Times New Roman" w:hAnsi="Times New Roman" w:cs="Times New Roman"/>
          <w:sz w:val="21"/>
          <w:szCs w:val="21"/>
        </w:rPr>
        <w:t xml:space="preserve"> (1,4)</w:t>
      </w:r>
      <w:r w:rsidR="00AA287D" w:rsidRPr="00475670">
        <w:rPr>
          <w:rFonts w:ascii="Times New Roman" w:hAnsi="Times New Roman" w:cs="Times New Roman"/>
          <w:sz w:val="21"/>
          <w:szCs w:val="21"/>
        </w:rPr>
        <w:t>.</w:t>
      </w:r>
    </w:p>
    <w:p w:rsidR="005B1204" w:rsidRPr="00475670" w:rsidRDefault="005B1204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>Tratamiento</w:t>
      </w:r>
      <w:r w:rsidR="006F7331" w:rsidRPr="00475670">
        <w:rPr>
          <w:rFonts w:ascii="Times New Roman" w:hAnsi="Times New Roman" w:cs="Times New Roman"/>
          <w:sz w:val="21"/>
          <w:szCs w:val="21"/>
        </w:rPr>
        <w:t>: Los medicamentos 5-</w:t>
      </w:r>
      <w:r w:rsidRPr="00475670">
        <w:rPr>
          <w:rFonts w:ascii="Times New Roman" w:hAnsi="Times New Roman" w:cs="Times New Roman"/>
          <w:sz w:val="21"/>
          <w:szCs w:val="21"/>
        </w:rPr>
        <w:t>nitroimidazólicos (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Metronidazol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Tinidazol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Secnidazol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) </w:t>
      </w:r>
      <w:r w:rsidR="000B0DE8" w:rsidRPr="00475670">
        <w:rPr>
          <w:rFonts w:ascii="Times New Roman" w:hAnsi="Times New Roman" w:cs="Times New Roman"/>
          <w:sz w:val="21"/>
          <w:szCs w:val="21"/>
        </w:rPr>
        <w:t xml:space="preserve">actúan contra los </w:t>
      </w:r>
      <w:proofErr w:type="spellStart"/>
      <w:r w:rsidR="000B0DE8" w:rsidRPr="00475670">
        <w:rPr>
          <w:rFonts w:ascii="Times New Roman" w:hAnsi="Times New Roman" w:cs="Times New Roman"/>
          <w:sz w:val="21"/>
          <w:szCs w:val="21"/>
        </w:rPr>
        <w:t>trofozoitos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 en los tejidos y las amidas (</w:t>
      </w:r>
      <w:proofErr w:type="spellStart"/>
      <w:r w:rsidRPr="00475670">
        <w:rPr>
          <w:rFonts w:ascii="Times New Roman" w:hAnsi="Times New Roman" w:cs="Times New Roman"/>
          <w:sz w:val="21"/>
          <w:szCs w:val="21"/>
        </w:rPr>
        <w:t>Teclozán</w:t>
      </w:r>
      <w:proofErr w:type="spellEnd"/>
      <w:r w:rsidRPr="00475670">
        <w:rPr>
          <w:rFonts w:ascii="Times New Roman" w:hAnsi="Times New Roman" w:cs="Times New Roman"/>
          <w:sz w:val="21"/>
          <w:szCs w:val="21"/>
        </w:rPr>
        <w:t xml:space="preserve">) en la luz intestinal. Recordar siempre que existen varios fármacos efectivos para una cierta enfermedad. </w:t>
      </w:r>
      <w:r w:rsidR="00072885" w:rsidRPr="00072885">
        <w:rPr>
          <w:rFonts w:ascii="Times New Roman" w:hAnsi="Times New Roman" w:cs="Times New Roman"/>
          <w:sz w:val="21"/>
          <w:szCs w:val="21"/>
        </w:rPr>
        <w:t>Ingerir después de las comidas y no consumir alcohol</w:t>
      </w:r>
      <w:r w:rsidR="006F7331" w:rsidRPr="00072885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66"/>
        <w:gridCol w:w="5994"/>
      </w:tblGrid>
      <w:tr w:rsidR="00475670" w:rsidRPr="00475670" w:rsidTr="00AF35B9">
        <w:tc>
          <w:tcPr>
            <w:tcW w:w="1692" w:type="pct"/>
            <w:vAlign w:val="center"/>
          </w:tcPr>
          <w:p w:rsidR="00AF35B9" w:rsidRPr="00475670" w:rsidRDefault="00AF35B9" w:rsidP="00AF35B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NOMBRE GENÉRICO DE FÁRMACO</w:t>
            </w:r>
          </w:p>
        </w:tc>
        <w:tc>
          <w:tcPr>
            <w:tcW w:w="3308" w:type="pct"/>
            <w:vAlign w:val="center"/>
          </w:tcPr>
          <w:p w:rsidR="00AF35B9" w:rsidRPr="00475670" w:rsidRDefault="00AF35B9" w:rsidP="00AF35B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b/>
                <w:sz w:val="21"/>
                <w:szCs w:val="21"/>
              </w:rPr>
              <w:t>DOSIS</w:t>
            </w:r>
          </w:p>
        </w:tc>
      </w:tr>
      <w:tr w:rsidR="00475670" w:rsidRPr="00475670" w:rsidTr="00AF35B9">
        <w:tc>
          <w:tcPr>
            <w:tcW w:w="1692" w:type="pct"/>
            <w:vAlign w:val="center"/>
          </w:tcPr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Metronidazol</w:t>
            </w:r>
            <w:proofErr w:type="spellEnd"/>
          </w:p>
        </w:tc>
        <w:tc>
          <w:tcPr>
            <w:tcW w:w="3308" w:type="pct"/>
            <w:vAlign w:val="center"/>
          </w:tcPr>
          <w:p w:rsidR="00AF35B9" w:rsidRPr="00475670" w:rsidRDefault="00072885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35-50 mg por</w:t>
            </w:r>
            <w:r w:rsidR="00AF35B9" w:rsidRPr="00475670">
              <w:rPr>
                <w:rFonts w:ascii="Times New Roman" w:hAnsi="Times New Roman" w:cs="Times New Roman"/>
                <w:sz w:val="21"/>
                <w:szCs w:val="21"/>
              </w:rPr>
              <w:t xml:space="preserve"> kg</w:t>
            </w:r>
          </w:p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500 mg c/8 horas por 8 días</w:t>
            </w:r>
          </w:p>
        </w:tc>
      </w:tr>
      <w:tr w:rsidR="00475670" w:rsidRPr="00475670" w:rsidTr="00AF35B9">
        <w:tc>
          <w:tcPr>
            <w:tcW w:w="1692" w:type="pct"/>
            <w:vAlign w:val="center"/>
          </w:tcPr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Tinidazol</w:t>
            </w:r>
            <w:proofErr w:type="spellEnd"/>
          </w:p>
        </w:tc>
        <w:tc>
          <w:tcPr>
            <w:tcW w:w="3308" w:type="pct"/>
            <w:vAlign w:val="center"/>
          </w:tcPr>
          <w:p w:rsidR="00AF35B9" w:rsidRPr="00475670" w:rsidRDefault="00072885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 – 30 mg por kg por</w:t>
            </w:r>
            <w:r w:rsidR="00AF35B9" w:rsidRPr="00475670">
              <w:rPr>
                <w:rFonts w:ascii="Times New Roman" w:hAnsi="Times New Roman" w:cs="Times New Roman"/>
                <w:sz w:val="21"/>
                <w:szCs w:val="21"/>
              </w:rPr>
              <w:t xml:space="preserve"> día c/12 horas por 5-7 días</w:t>
            </w:r>
          </w:p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1 gr c/12 horas por 5 – 10 días</w:t>
            </w:r>
          </w:p>
        </w:tc>
      </w:tr>
      <w:tr w:rsidR="00475670" w:rsidRPr="00475670" w:rsidTr="00AF35B9">
        <w:tc>
          <w:tcPr>
            <w:tcW w:w="1692" w:type="pct"/>
            <w:vAlign w:val="center"/>
          </w:tcPr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Secnidazol</w:t>
            </w:r>
            <w:proofErr w:type="spellEnd"/>
          </w:p>
        </w:tc>
        <w:tc>
          <w:tcPr>
            <w:tcW w:w="3308" w:type="pct"/>
            <w:vAlign w:val="center"/>
          </w:tcPr>
          <w:p w:rsidR="0080735E" w:rsidRDefault="0080735E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 mg por kg por día dosis única</w:t>
            </w:r>
          </w:p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2 gr dosis única</w:t>
            </w:r>
          </w:p>
        </w:tc>
      </w:tr>
      <w:tr w:rsidR="00475670" w:rsidRPr="00475670" w:rsidTr="00AF35B9">
        <w:trPr>
          <w:trHeight w:val="352"/>
        </w:trPr>
        <w:tc>
          <w:tcPr>
            <w:tcW w:w="1692" w:type="pct"/>
            <w:vAlign w:val="center"/>
          </w:tcPr>
          <w:p w:rsidR="00AF35B9" w:rsidRPr="00475670" w:rsidRDefault="00AF35B9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Teclozán</w:t>
            </w:r>
            <w:proofErr w:type="spellEnd"/>
          </w:p>
        </w:tc>
        <w:tc>
          <w:tcPr>
            <w:tcW w:w="3308" w:type="pct"/>
            <w:vAlign w:val="center"/>
          </w:tcPr>
          <w:p w:rsidR="00AF35B9" w:rsidRPr="00475670" w:rsidRDefault="0080735E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 mg por kg por </w:t>
            </w:r>
            <w:r w:rsidR="00AF35B9" w:rsidRPr="00475670">
              <w:rPr>
                <w:rFonts w:ascii="Times New Roman" w:hAnsi="Times New Roman" w:cs="Times New Roman"/>
                <w:sz w:val="21"/>
                <w:szCs w:val="21"/>
              </w:rPr>
              <w:t>día</w:t>
            </w:r>
          </w:p>
        </w:tc>
      </w:tr>
      <w:tr w:rsidR="007A3E47" w:rsidRPr="00475670" w:rsidTr="00AF35B9">
        <w:trPr>
          <w:trHeight w:val="352"/>
        </w:trPr>
        <w:tc>
          <w:tcPr>
            <w:tcW w:w="1692" w:type="pct"/>
            <w:vAlign w:val="center"/>
          </w:tcPr>
          <w:p w:rsidR="007A3E47" w:rsidRPr="00475670" w:rsidRDefault="007A3E47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75670">
              <w:rPr>
                <w:rFonts w:ascii="Times New Roman" w:hAnsi="Times New Roman" w:cs="Times New Roman"/>
                <w:sz w:val="21"/>
                <w:szCs w:val="21"/>
              </w:rPr>
              <w:t>Paromomicina</w:t>
            </w:r>
            <w:proofErr w:type="spellEnd"/>
          </w:p>
        </w:tc>
        <w:tc>
          <w:tcPr>
            <w:tcW w:w="3308" w:type="pct"/>
            <w:vAlign w:val="center"/>
          </w:tcPr>
          <w:p w:rsidR="007A3E47" w:rsidRPr="00475670" w:rsidRDefault="007A3E47" w:rsidP="00AF35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5670">
              <w:rPr>
                <w:rFonts w:ascii="Times New Roman" w:hAnsi="Times New Roman" w:cs="Times New Roman"/>
                <w:sz w:val="21"/>
                <w:szCs w:val="21"/>
              </w:rPr>
              <w:t xml:space="preserve">500 mg cada 6 horas por 7 días </w:t>
            </w:r>
            <w:r w:rsidR="00254D1F" w:rsidRPr="00475670">
              <w:rPr>
                <w:rFonts w:ascii="Times New Roman" w:hAnsi="Times New Roman" w:cs="Times New Roman"/>
                <w:sz w:val="21"/>
                <w:szCs w:val="21"/>
              </w:rPr>
              <w:t>(para prevenir recurrencias; no disponible en Ecuador)</w:t>
            </w:r>
            <w:r w:rsidR="00135173" w:rsidRPr="004756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75670" w:rsidRPr="00475670">
              <w:rPr>
                <w:rFonts w:ascii="Times New Roman" w:hAnsi="Times New Roman" w:cs="Times New Roman"/>
                <w:sz w:val="21"/>
                <w:szCs w:val="21"/>
              </w:rPr>
              <w:t>(5</w:t>
            </w:r>
            <w:r w:rsidR="00254D1F" w:rsidRPr="0047567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</w:tbl>
    <w:p w:rsidR="00072885" w:rsidRDefault="00072885" w:rsidP="00205EBA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B1204" w:rsidRPr="00475670" w:rsidRDefault="00EB2D2D" w:rsidP="00205EB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noProof/>
          <w:sz w:val="21"/>
          <w:szCs w:val="21"/>
          <w:lang w:eastAsia="es-EC"/>
        </w:rPr>
        <w:drawing>
          <wp:anchor distT="0" distB="0" distL="114300" distR="114300" simplePos="0" relativeHeight="251667456" behindDoc="0" locked="0" layoutInCell="1" allowOverlap="1" wp14:anchorId="59BD107F" wp14:editId="452EB7F8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191895" cy="685800"/>
            <wp:effectExtent l="0" t="0" r="825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EBA" w:rsidRPr="00475670">
        <w:rPr>
          <w:rFonts w:ascii="Times New Roman" w:hAnsi="Times New Roman" w:cs="Times New Roman"/>
          <w:b/>
          <w:sz w:val="21"/>
          <w:szCs w:val="21"/>
        </w:rPr>
        <w:t>A</w:t>
      </w:r>
      <w:r w:rsidR="00C84CE1" w:rsidRPr="00475670">
        <w:rPr>
          <w:rFonts w:ascii="Times New Roman" w:hAnsi="Times New Roman" w:cs="Times New Roman"/>
          <w:b/>
          <w:sz w:val="21"/>
          <w:szCs w:val="21"/>
        </w:rPr>
        <w:t>mebiasis hepática</w:t>
      </w:r>
      <w:r w:rsidR="00205EBA" w:rsidRPr="00475670">
        <w:rPr>
          <w:rFonts w:ascii="Times New Roman" w:hAnsi="Times New Roman" w:cs="Times New Roman"/>
          <w:sz w:val="21"/>
          <w:szCs w:val="21"/>
        </w:rPr>
        <w:t>:</w:t>
      </w:r>
      <w:r w:rsidR="00C84CE1" w:rsidRPr="00475670">
        <w:rPr>
          <w:rFonts w:ascii="Times New Roman" w:hAnsi="Times New Roman" w:cs="Times New Roman"/>
          <w:sz w:val="21"/>
          <w:szCs w:val="21"/>
        </w:rPr>
        <w:t xml:space="preserve"> es la más frecuente </w:t>
      </w:r>
      <w:proofErr w:type="gramStart"/>
      <w:r w:rsidR="00C84CE1" w:rsidRPr="00475670">
        <w:rPr>
          <w:rFonts w:ascii="Times New Roman" w:hAnsi="Times New Roman" w:cs="Times New Roman"/>
          <w:sz w:val="21"/>
          <w:szCs w:val="21"/>
        </w:rPr>
        <w:t xml:space="preserve">de las </w:t>
      </w:r>
      <w:r w:rsidR="00273441" w:rsidRPr="00475670">
        <w:rPr>
          <w:rFonts w:ascii="Times New Roman" w:hAnsi="Times New Roman" w:cs="Times New Roman"/>
          <w:sz w:val="21"/>
          <w:szCs w:val="21"/>
        </w:rPr>
        <w:t>amebia</w:t>
      </w:r>
      <w:r w:rsidR="00C84CE1" w:rsidRPr="00475670">
        <w:rPr>
          <w:rFonts w:ascii="Times New Roman" w:hAnsi="Times New Roman" w:cs="Times New Roman"/>
          <w:sz w:val="21"/>
          <w:szCs w:val="21"/>
        </w:rPr>
        <w:t>sis</w:t>
      </w:r>
      <w:proofErr w:type="gramEnd"/>
      <w:r w:rsidR="00C84CE1" w:rsidRPr="0047567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84CE1" w:rsidRPr="00475670">
        <w:rPr>
          <w:rFonts w:ascii="Times New Roman" w:hAnsi="Times New Roman" w:cs="Times New Roman"/>
          <w:sz w:val="21"/>
          <w:szCs w:val="21"/>
        </w:rPr>
        <w:t>extraluminales</w:t>
      </w:r>
      <w:proofErr w:type="spellEnd"/>
      <w:r w:rsidR="00273441" w:rsidRPr="00475670">
        <w:rPr>
          <w:rFonts w:ascii="Times New Roman" w:hAnsi="Times New Roman" w:cs="Times New Roman"/>
          <w:sz w:val="21"/>
          <w:szCs w:val="21"/>
        </w:rPr>
        <w:t xml:space="preserve">, localizando principalmente </w:t>
      </w:r>
      <w:r w:rsidR="00C84CE1" w:rsidRPr="00475670">
        <w:rPr>
          <w:rFonts w:ascii="Times New Roman" w:hAnsi="Times New Roman" w:cs="Times New Roman"/>
          <w:sz w:val="21"/>
          <w:szCs w:val="21"/>
        </w:rPr>
        <w:t>un absceso</w:t>
      </w:r>
      <w:r w:rsidR="009E2147" w:rsidRPr="00475670">
        <w:rPr>
          <w:rFonts w:ascii="Times New Roman" w:hAnsi="Times New Roman" w:cs="Times New Roman"/>
          <w:sz w:val="21"/>
          <w:szCs w:val="21"/>
        </w:rPr>
        <w:t xml:space="preserve"> y material necrótico</w:t>
      </w:r>
      <w:r w:rsidR="00273441" w:rsidRPr="00475670">
        <w:rPr>
          <w:rFonts w:ascii="Times New Roman" w:hAnsi="Times New Roman" w:cs="Times New Roman"/>
          <w:sz w:val="21"/>
          <w:szCs w:val="21"/>
        </w:rPr>
        <w:t xml:space="preserve"> en el lóbulo derecho en su porción superior.</w:t>
      </w:r>
      <w:r w:rsidR="00C84CE1" w:rsidRPr="00475670">
        <w:rPr>
          <w:rFonts w:ascii="Times New Roman" w:hAnsi="Times New Roman" w:cs="Times New Roman"/>
          <w:sz w:val="21"/>
          <w:szCs w:val="21"/>
        </w:rPr>
        <w:t xml:space="preserve"> Algunas manifestaciones clínicas generales son malestar, fiebre, dolor en la zona hepática y hepatomegalia. En la anamnesis es de gran valor indagar sobre </w:t>
      </w:r>
      <w:r w:rsidR="006F7331" w:rsidRPr="00475670">
        <w:rPr>
          <w:rFonts w:ascii="Times New Roman" w:hAnsi="Times New Roman" w:cs="Times New Roman"/>
          <w:sz w:val="21"/>
          <w:szCs w:val="21"/>
        </w:rPr>
        <w:t>cuadros intestinales anteriores.</w:t>
      </w:r>
    </w:p>
    <w:p w:rsidR="009E2147" w:rsidRPr="00475670" w:rsidRDefault="0046588F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noProof/>
          <w:sz w:val="21"/>
          <w:szCs w:val="21"/>
          <w:lang w:eastAsia="es-EC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6EE248" wp14:editId="63EBA0D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200150" cy="40957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2D" w:rsidRPr="00EB2D2D" w:rsidRDefault="00EB2D2D" w:rsidP="00EB2D2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Absceso amebiano hepático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E248" id="_x0000_s1029" type="#_x0000_t202" style="position:absolute;left:0;text-align:left;margin-left:43.3pt;margin-top:.55pt;width:94.5pt;height:32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">
                <v:textbox>
                  <w:txbxContent>
                    <w:p w:rsidR="00EB2D2D" w:rsidRPr="00EB2D2D" w:rsidRDefault="00EB2D2D" w:rsidP="00EB2D2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Absceso amebiano hepático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147" w:rsidRPr="00475670">
        <w:rPr>
          <w:rFonts w:ascii="Times New Roman" w:hAnsi="Times New Roman" w:cs="Times New Roman"/>
          <w:sz w:val="21"/>
          <w:szCs w:val="21"/>
        </w:rPr>
        <w:t xml:space="preserve">El diagnóstico diferencial se debe hacer junto a otras patologías que producen tumores hepáticos y dolor abdominal. Son más útiles pruebas </w:t>
      </w:r>
      <w:proofErr w:type="spellStart"/>
      <w:r w:rsidR="009E2147" w:rsidRPr="00475670">
        <w:rPr>
          <w:rFonts w:ascii="Times New Roman" w:hAnsi="Times New Roman" w:cs="Times New Roman"/>
          <w:sz w:val="21"/>
          <w:szCs w:val="21"/>
        </w:rPr>
        <w:t>imagenológicas</w:t>
      </w:r>
      <w:proofErr w:type="spellEnd"/>
      <w:r w:rsidR="00AF7D36" w:rsidRPr="00475670">
        <w:rPr>
          <w:rFonts w:ascii="Times New Roman" w:hAnsi="Times New Roman" w:cs="Times New Roman"/>
          <w:sz w:val="21"/>
          <w:szCs w:val="21"/>
        </w:rPr>
        <w:t>, inmunológicas, genéticas, entre otros.</w:t>
      </w:r>
    </w:p>
    <w:p w:rsidR="009E2147" w:rsidRPr="00475670" w:rsidRDefault="00273441" w:rsidP="00AF35B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670">
        <w:rPr>
          <w:rFonts w:ascii="Times New Roman" w:hAnsi="Times New Roman" w:cs="Times New Roman"/>
          <w:b/>
          <w:sz w:val="21"/>
          <w:szCs w:val="21"/>
        </w:rPr>
        <w:t xml:space="preserve">Otras amebiasis </w:t>
      </w:r>
      <w:proofErr w:type="spellStart"/>
      <w:r w:rsidRPr="00475670">
        <w:rPr>
          <w:rFonts w:ascii="Times New Roman" w:hAnsi="Times New Roman" w:cs="Times New Roman"/>
          <w:b/>
          <w:sz w:val="21"/>
          <w:szCs w:val="21"/>
        </w:rPr>
        <w:t>extraintest</w:t>
      </w:r>
      <w:r w:rsidR="00BB4BF6" w:rsidRPr="00475670">
        <w:rPr>
          <w:rFonts w:ascii="Times New Roman" w:hAnsi="Times New Roman" w:cs="Times New Roman"/>
          <w:b/>
          <w:sz w:val="21"/>
          <w:szCs w:val="21"/>
        </w:rPr>
        <w:t>inales</w:t>
      </w:r>
      <w:proofErr w:type="spellEnd"/>
      <w:r w:rsidR="00BB4BF6" w:rsidRPr="00475670">
        <w:rPr>
          <w:rFonts w:ascii="Times New Roman" w:hAnsi="Times New Roman" w:cs="Times New Roman"/>
          <w:sz w:val="21"/>
          <w:szCs w:val="21"/>
        </w:rPr>
        <w:t xml:space="preserve">: Son poco </w:t>
      </w:r>
      <w:r w:rsidR="00AF7D36" w:rsidRPr="00475670">
        <w:rPr>
          <w:rFonts w:ascii="Times New Roman" w:hAnsi="Times New Roman" w:cs="Times New Roman"/>
          <w:sz w:val="21"/>
          <w:szCs w:val="21"/>
        </w:rPr>
        <w:t>frecuentes,</w:t>
      </w:r>
      <w:r w:rsidR="00BB4BF6" w:rsidRPr="00475670">
        <w:rPr>
          <w:rFonts w:ascii="Times New Roman" w:hAnsi="Times New Roman" w:cs="Times New Roman"/>
          <w:sz w:val="21"/>
          <w:szCs w:val="21"/>
        </w:rPr>
        <w:t xml:space="preserve"> pero cuando se presentan llega</w:t>
      </w:r>
      <w:r w:rsidR="00C84CE1" w:rsidRPr="00475670">
        <w:rPr>
          <w:rFonts w:ascii="Times New Roman" w:hAnsi="Times New Roman" w:cs="Times New Roman"/>
          <w:sz w:val="21"/>
          <w:szCs w:val="21"/>
        </w:rPr>
        <w:t xml:space="preserve">n a ser muy graves. Suele existir una amebiasis de localización múltiple, causa de la diseminación fácil por vía hematógena o por contigüidad. La amebiasis puede ser </w:t>
      </w:r>
      <w:proofErr w:type="spellStart"/>
      <w:r w:rsidR="00C84CE1" w:rsidRPr="00475670">
        <w:rPr>
          <w:rFonts w:ascii="Times New Roman" w:hAnsi="Times New Roman" w:cs="Times New Roman"/>
          <w:sz w:val="21"/>
          <w:szCs w:val="21"/>
        </w:rPr>
        <w:t>pleuropulmonar</w:t>
      </w:r>
      <w:proofErr w:type="spellEnd"/>
      <w:r w:rsidR="00C84CE1" w:rsidRPr="00475670">
        <w:rPr>
          <w:rFonts w:ascii="Times New Roman" w:hAnsi="Times New Roman" w:cs="Times New Roman"/>
          <w:sz w:val="21"/>
          <w:szCs w:val="21"/>
        </w:rPr>
        <w:t>, cutánea y de mucosas, cerebral amebiano, entre otros</w:t>
      </w:r>
      <w:r w:rsidR="00135173" w:rsidRPr="00475670">
        <w:rPr>
          <w:rFonts w:ascii="Times New Roman" w:hAnsi="Times New Roman" w:cs="Times New Roman"/>
          <w:sz w:val="21"/>
          <w:szCs w:val="21"/>
        </w:rPr>
        <w:t xml:space="preserve"> </w:t>
      </w:r>
      <w:r w:rsidR="00CC24EF" w:rsidRPr="00475670">
        <w:rPr>
          <w:rFonts w:ascii="Times New Roman" w:hAnsi="Times New Roman" w:cs="Times New Roman"/>
          <w:sz w:val="21"/>
          <w:szCs w:val="21"/>
        </w:rPr>
        <w:t>(1)</w:t>
      </w:r>
      <w:r w:rsidR="00C84CE1" w:rsidRPr="00475670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05EBA" w:rsidRPr="00072885" w:rsidRDefault="00205EBA" w:rsidP="00AF35B9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885">
        <w:rPr>
          <w:rFonts w:ascii="Times New Roman" w:hAnsi="Times New Roman" w:cs="Times New Roman"/>
          <w:b/>
          <w:sz w:val="18"/>
          <w:szCs w:val="18"/>
        </w:rPr>
        <w:t xml:space="preserve">REFERENCIAS BIBLIOGRÁFICAS </w:t>
      </w:r>
    </w:p>
    <w:p w:rsidR="00EB2D2D" w:rsidRPr="00072885" w:rsidRDefault="0046588F" w:rsidP="00B2784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885">
        <w:rPr>
          <w:rFonts w:ascii="Times New Roman" w:hAnsi="Times New Roman" w:cs="Times New Roman"/>
          <w:sz w:val="18"/>
          <w:szCs w:val="18"/>
        </w:rPr>
        <w:t xml:space="preserve">Botero D, Restrepo M, et al. Parasitosis humana. 5th ed. </w:t>
      </w:r>
      <w:proofErr w:type="spellStart"/>
      <w:r w:rsidRPr="00072885">
        <w:rPr>
          <w:rFonts w:ascii="Times New Roman" w:hAnsi="Times New Roman" w:cs="Times New Roman"/>
          <w:sz w:val="18"/>
          <w:szCs w:val="18"/>
        </w:rPr>
        <w:t>Medellin</w:t>
      </w:r>
      <w:proofErr w:type="spellEnd"/>
      <w:r w:rsidRPr="00072885">
        <w:rPr>
          <w:rFonts w:ascii="Times New Roman" w:hAnsi="Times New Roman" w:cs="Times New Roman"/>
          <w:sz w:val="18"/>
          <w:szCs w:val="18"/>
        </w:rPr>
        <w:t>: Corporac</w:t>
      </w:r>
      <w:r w:rsidR="00B57094" w:rsidRPr="00072885">
        <w:rPr>
          <w:rFonts w:ascii="Times New Roman" w:hAnsi="Times New Roman" w:cs="Times New Roman"/>
          <w:sz w:val="18"/>
          <w:szCs w:val="18"/>
        </w:rPr>
        <w:t xml:space="preserve">iones para Investigaciones </w:t>
      </w:r>
      <w:proofErr w:type="spellStart"/>
      <w:r w:rsidR="00B57094" w:rsidRPr="00072885">
        <w:rPr>
          <w:rFonts w:ascii="Times New Roman" w:hAnsi="Times New Roman" w:cs="Times New Roman"/>
          <w:sz w:val="18"/>
          <w:szCs w:val="18"/>
        </w:rPr>
        <w:t>Biolo</w:t>
      </w:r>
      <w:r w:rsidRPr="00072885">
        <w:rPr>
          <w:rFonts w:ascii="Times New Roman" w:hAnsi="Times New Roman" w:cs="Times New Roman"/>
          <w:sz w:val="18"/>
          <w:szCs w:val="18"/>
        </w:rPr>
        <w:t>gicas</w:t>
      </w:r>
      <w:proofErr w:type="spellEnd"/>
      <w:r w:rsidRPr="00072885">
        <w:rPr>
          <w:rFonts w:ascii="Times New Roman" w:hAnsi="Times New Roman" w:cs="Times New Roman"/>
          <w:sz w:val="18"/>
          <w:szCs w:val="18"/>
        </w:rPr>
        <w:t>; c2012. p. 37-71</w:t>
      </w:r>
      <w:r w:rsidR="00B57094" w:rsidRPr="00072885">
        <w:rPr>
          <w:rFonts w:ascii="Times New Roman" w:hAnsi="Times New Roman" w:cs="Times New Roman"/>
          <w:sz w:val="18"/>
          <w:szCs w:val="18"/>
        </w:rPr>
        <w:t>.</w:t>
      </w:r>
    </w:p>
    <w:p w:rsidR="00E453A3" w:rsidRPr="00072885" w:rsidRDefault="00E453A3" w:rsidP="00E453A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Cornick S, </w:t>
      </w:r>
      <w:proofErr w:type="spellStart"/>
      <w:r w:rsidRPr="00072885">
        <w:rPr>
          <w:rFonts w:ascii="Times New Roman" w:hAnsi="Times New Roman" w:cs="Times New Roman"/>
          <w:sz w:val="18"/>
          <w:szCs w:val="18"/>
          <w:lang w:val="en-US"/>
        </w:rPr>
        <w:t>Chadee</w:t>
      </w:r>
      <w:proofErr w:type="spellEnd"/>
      <w:r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 K. Entamoeba histolytica: host parasite interactions at the colonic epithelium. Tissue Barriers [Article]. 2017;5(1): </w:t>
      </w:r>
      <w:hyperlink r:id="rId12" w:history="1">
        <w:r w:rsidRPr="00072885">
          <w:rPr>
            <w:rStyle w:val="Hipervnculo"/>
            <w:rFonts w:ascii="Times New Roman" w:hAnsi="Times New Roman" w:cs="Times New Roman"/>
            <w:sz w:val="18"/>
            <w:szCs w:val="18"/>
            <w:lang w:val="en-US"/>
          </w:rPr>
          <w:t>https://doi.org/10.1080/21688370.2017.1283386</w:t>
        </w:r>
      </w:hyperlink>
    </w:p>
    <w:p w:rsidR="0046588F" w:rsidRPr="00072885" w:rsidRDefault="00B57094" w:rsidP="00E453A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72885">
        <w:rPr>
          <w:rFonts w:ascii="Times New Roman" w:hAnsi="Times New Roman" w:cs="Times New Roman"/>
          <w:sz w:val="18"/>
          <w:szCs w:val="18"/>
        </w:rPr>
        <w:t xml:space="preserve">Becerril </w:t>
      </w:r>
      <w:proofErr w:type="spellStart"/>
      <w:r w:rsidRPr="00072885">
        <w:rPr>
          <w:rFonts w:ascii="Times New Roman" w:hAnsi="Times New Roman" w:cs="Times New Roman"/>
          <w:sz w:val="18"/>
          <w:szCs w:val="18"/>
        </w:rPr>
        <w:t>MA</w:t>
      </w:r>
      <w:proofErr w:type="spellEnd"/>
      <w:r w:rsidRPr="00072885">
        <w:rPr>
          <w:rFonts w:ascii="Times New Roman" w:hAnsi="Times New Roman" w:cs="Times New Roman"/>
          <w:sz w:val="18"/>
          <w:szCs w:val="18"/>
        </w:rPr>
        <w:t xml:space="preserve">, Aguirre M, Becker I, et al. </w:t>
      </w:r>
      <w:proofErr w:type="spellStart"/>
      <w:r w:rsidRPr="00072885">
        <w:rPr>
          <w:rFonts w:ascii="Times New Roman" w:hAnsi="Times New Roman" w:cs="Times New Roman"/>
          <w:sz w:val="18"/>
          <w:szCs w:val="18"/>
        </w:rPr>
        <w:t>Parasitologia</w:t>
      </w:r>
      <w:proofErr w:type="spellEnd"/>
      <w:r w:rsidRPr="00072885">
        <w:rPr>
          <w:rFonts w:ascii="Times New Roman" w:hAnsi="Times New Roman" w:cs="Times New Roman"/>
          <w:sz w:val="18"/>
          <w:szCs w:val="18"/>
        </w:rPr>
        <w:t xml:space="preserve"> humana. </w:t>
      </w:r>
      <w:r w:rsidRPr="00072885">
        <w:rPr>
          <w:rFonts w:ascii="Times New Roman" w:hAnsi="Times New Roman" w:cs="Times New Roman"/>
          <w:sz w:val="18"/>
          <w:szCs w:val="18"/>
          <w:lang w:val="en-US"/>
        </w:rPr>
        <w:t>3rd ed. México D.F.: McGraw Hill; c2011. p. 22-25.</w:t>
      </w:r>
    </w:p>
    <w:p w:rsidR="00475670" w:rsidRPr="00072885" w:rsidRDefault="00475670" w:rsidP="004756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072885">
        <w:rPr>
          <w:rFonts w:ascii="Times New Roman" w:hAnsi="Times New Roman" w:cs="Times New Roman"/>
          <w:sz w:val="18"/>
          <w:szCs w:val="18"/>
          <w:lang w:val="en-US"/>
        </w:rPr>
        <w:t>Debnath</w:t>
      </w:r>
      <w:proofErr w:type="spellEnd"/>
      <w:r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 A, Rodriguez M</w:t>
      </w:r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A and </w:t>
      </w:r>
      <w:proofErr w:type="spellStart"/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>Ankri</w:t>
      </w:r>
      <w:proofErr w:type="spellEnd"/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 S. </w:t>
      </w:r>
      <w:r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Recent Progresses in </w:t>
      </w:r>
      <w:proofErr w:type="spellStart"/>
      <w:r w:rsidRPr="00072885">
        <w:rPr>
          <w:rFonts w:ascii="Times New Roman" w:hAnsi="Times New Roman" w:cs="Times New Roman"/>
          <w:sz w:val="18"/>
          <w:szCs w:val="18"/>
          <w:lang w:val="en-US"/>
        </w:rPr>
        <w:t>Amebiasis</w:t>
      </w:r>
      <w:proofErr w:type="spellEnd"/>
      <w:r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Front. Cell. Infect. </w:t>
      </w:r>
      <w:proofErr w:type="spellStart"/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>Microbiol</w:t>
      </w:r>
      <w:proofErr w:type="spellEnd"/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 [Article]. </w:t>
      </w:r>
      <w:proofErr w:type="gramStart"/>
      <w:r w:rsidR="00E453A3" w:rsidRPr="00072885">
        <w:rPr>
          <w:rFonts w:ascii="Times New Roman" w:hAnsi="Times New Roman" w:cs="Times New Roman"/>
          <w:sz w:val="18"/>
          <w:szCs w:val="18"/>
          <w:lang w:val="en-US"/>
        </w:rPr>
        <w:t>2019;</w:t>
      </w:r>
      <w:r w:rsidRPr="00072885">
        <w:rPr>
          <w:rFonts w:ascii="Times New Roman" w:hAnsi="Times New Roman" w:cs="Times New Roman"/>
          <w:sz w:val="18"/>
          <w:szCs w:val="18"/>
          <w:lang w:val="en-US"/>
        </w:rPr>
        <w:t>9:247</w:t>
      </w:r>
      <w:proofErr w:type="gramEnd"/>
      <w:r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072885"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r w:rsidRPr="00072885">
        <w:rPr>
          <w:rFonts w:ascii="Times New Roman" w:hAnsi="Times New Roman" w:cs="Times New Roman"/>
          <w:sz w:val="18"/>
          <w:szCs w:val="18"/>
          <w:lang w:val="en-US"/>
        </w:rPr>
        <w:t>: 10.3389/fcimb.2019.00247</w:t>
      </w:r>
    </w:p>
    <w:p w:rsidR="00254D1F" w:rsidRPr="00072885" w:rsidRDefault="00254D1F" w:rsidP="002A3F6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072885">
        <w:rPr>
          <w:rFonts w:ascii="Times New Roman" w:hAnsi="Times New Roman" w:cs="Times New Roman"/>
          <w:sz w:val="18"/>
          <w:szCs w:val="18"/>
        </w:rPr>
        <w:t>Roland</w:t>
      </w:r>
      <w:proofErr w:type="spellEnd"/>
      <w:r w:rsidRPr="00072885">
        <w:rPr>
          <w:rFonts w:ascii="Times New Roman" w:hAnsi="Times New Roman" w:cs="Times New Roman"/>
          <w:sz w:val="18"/>
          <w:szCs w:val="18"/>
        </w:rPr>
        <w:t xml:space="preserve"> T, Yildiz H, </w:t>
      </w:r>
      <w:proofErr w:type="spellStart"/>
      <w:r w:rsidRPr="00072885">
        <w:rPr>
          <w:rFonts w:ascii="Times New Roman" w:hAnsi="Times New Roman" w:cs="Times New Roman"/>
          <w:sz w:val="18"/>
          <w:szCs w:val="18"/>
        </w:rPr>
        <w:t>Vandercam</w:t>
      </w:r>
      <w:proofErr w:type="spellEnd"/>
      <w:r w:rsidRPr="00072885">
        <w:rPr>
          <w:rFonts w:ascii="Times New Roman" w:hAnsi="Times New Roman" w:cs="Times New Roman"/>
          <w:sz w:val="18"/>
          <w:szCs w:val="18"/>
        </w:rPr>
        <w:t xml:space="preserve"> B, et al. </w:t>
      </w:r>
      <w:r w:rsidR="002A3F62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Persistent fever and right </w:t>
      </w:r>
      <w:proofErr w:type="spellStart"/>
      <w:r w:rsidR="002A3F62" w:rsidRPr="00072885">
        <w:rPr>
          <w:rFonts w:ascii="Times New Roman" w:hAnsi="Times New Roman" w:cs="Times New Roman"/>
          <w:sz w:val="18"/>
          <w:szCs w:val="18"/>
          <w:lang w:val="en-US"/>
        </w:rPr>
        <w:t>hypochondrium</w:t>
      </w:r>
      <w:proofErr w:type="spellEnd"/>
      <w:r w:rsidR="002A3F62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 pain. </w:t>
      </w:r>
      <w:proofErr w:type="spellStart"/>
      <w:r w:rsidR="002A3F62" w:rsidRPr="00072885">
        <w:rPr>
          <w:rFonts w:ascii="Times New Roman" w:hAnsi="Times New Roman" w:cs="Times New Roman"/>
          <w:sz w:val="18"/>
          <w:szCs w:val="18"/>
          <w:lang w:val="en-US"/>
        </w:rPr>
        <w:t>BMJ</w:t>
      </w:r>
      <w:proofErr w:type="spellEnd"/>
      <w:r w:rsidR="002A3F62" w:rsidRPr="00072885">
        <w:rPr>
          <w:rFonts w:ascii="Times New Roman" w:hAnsi="Times New Roman" w:cs="Times New Roman"/>
          <w:sz w:val="18"/>
          <w:szCs w:val="18"/>
          <w:lang w:val="en-US"/>
        </w:rPr>
        <w:t xml:space="preserve"> Case Rep [Article] 19 June 2017</w:t>
      </w:r>
      <w:r w:rsidRPr="00072885">
        <w:rPr>
          <w:rFonts w:ascii="Times New Roman" w:hAnsi="Times New Roman" w:cs="Times New Roman"/>
          <w:sz w:val="18"/>
          <w:szCs w:val="18"/>
          <w:lang w:val="en-US"/>
        </w:rPr>
        <w:t>. doi:10.1136/bcr-2017-221254</w:t>
      </w:r>
    </w:p>
    <w:sectPr w:rsidR="00254D1F" w:rsidRPr="00072885" w:rsidSect="008073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87" w:rsidRDefault="00FA7487" w:rsidP="00EC6B29">
      <w:pPr>
        <w:spacing w:after="0" w:line="240" w:lineRule="auto"/>
      </w:pPr>
      <w:r>
        <w:separator/>
      </w:r>
    </w:p>
  </w:endnote>
  <w:endnote w:type="continuationSeparator" w:id="0">
    <w:p w:rsidR="00FA7487" w:rsidRDefault="00FA7487" w:rsidP="00EC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A8" w:rsidRDefault="00094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033001"/>
      <w:docPartObj>
        <w:docPartGallery w:val="Page Numbers (Bottom of Page)"/>
        <w:docPartUnique/>
      </w:docPartObj>
    </w:sdtPr>
    <w:sdtEndPr/>
    <w:sdtContent>
      <w:p w:rsidR="00EC6B29" w:rsidRDefault="00EC6B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A8" w:rsidRPr="000942A8">
          <w:rPr>
            <w:noProof/>
            <w:lang w:val="es-ES"/>
          </w:rPr>
          <w:t>1</w:t>
        </w:r>
        <w:r>
          <w:fldChar w:fldCharType="end"/>
        </w:r>
      </w:p>
    </w:sdtContent>
  </w:sdt>
  <w:p w:rsidR="00EC6B29" w:rsidRPr="00EC6B29" w:rsidRDefault="00EC6B29" w:rsidP="00EC6B29">
    <w:pPr>
      <w:pStyle w:val="Piedepgina"/>
      <w:jc w:val="both"/>
      <w:rPr>
        <w:rFonts w:ascii="Arial" w:hAnsi="Arial" w:cs="Arial"/>
        <w:sz w:val="20"/>
        <w:szCs w:val="20"/>
      </w:rPr>
    </w:pPr>
    <w:r w:rsidRPr="00EC6B29">
      <w:rPr>
        <w:rFonts w:ascii="Arial" w:hAnsi="Arial" w:cs="Arial"/>
        <w:sz w:val="20"/>
        <w:szCs w:val="20"/>
      </w:rPr>
      <w:t>@</w:t>
    </w:r>
    <w:proofErr w:type="spellStart"/>
    <w:r w:rsidRPr="00EC6B29">
      <w:rPr>
        <w:rFonts w:ascii="Arial" w:hAnsi="Arial" w:cs="Arial"/>
        <w:sz w:val="20"/>
        <w:szCs w:val="20"/>
      </w:rPr>
      <w:t>comumed</w:t>
    </w:r>
    <w:proofErr w:type="spellEnd"/>
  </w:p>
  <w:p w:rsidR="00EC6B29" w:rsidRPr="00EC6B29" w:rsidRDefault="000942A8" w:rsidP="00EC6B29">
    <w:pPr>
      <w:pStyle w:val="Piedepgin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Actualizado el 4</w:t>
    </w:r>
    <w:bookmarkStart w:id="0" w:name="_GoBack"/>
    <w:bookmarkEnd w:id="0"/>
    <w:r w:rsidR="007308DA">
      <w:rPr>
        <w:rFonts w:ascii="Arial" w:hAnsi="Arial" w:cs="Arial"/>
        <w:sz w:val="20"/>
        <w:szCs w:val="20"/>
      </w:rPr>
      <w:t>/8</w:t>
    </w:r>
    <w:r w:rsidR="00EC6B29" w:rsidRPr="00EC6B29">
      <w:rPr>
        <w:rFonts w:ascii="Arial" w:hAnsi="Arial" w:cs="Arial"/>
        <w:sz w:val="20"/>
        <w:szCs w:val="20"/>
      </w:rPr>
      <w:t>/19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A8" w:rsidRDefault="00094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87" w:rsidRDefault="00FA7487" w:rsidP="00EC6B29">
      <w:pPr>
        <w:spacing w:after="0" w:line="240" w:lineRule="auto"/>
      </w:pPr>
      <w:r>
        <w:separator/>
      </w:r>
    </w:p>
  </w:footnote>
  <w:footnote w:type="continuationSeparator" w:id="0">
    <w:p w:rsidR="00FA7487" w:rsidRDefault="00FA7487" w:rsidP="00EC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A8" w:rsidRDefault="00094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A8" w:rsidRDefault="000942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A8" w:rsidRDefault="000942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4E9C"/>
    <w:multiLevelType w:val="hybridMultilevel"/>
    <w:tmpl w:val="CA8AB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E"/>
    <w:rsid w:val="00072885"/>
    <w:rsid w:val="000942A8"/>
    <w:rsid w:val="000B0DE8"/>
    <w:rsid w:val="00135173"/>
    <w:rsid w:val="001906BE"/>
    <w:rsid w:val="001E0E29"/>
    <w:rsid w:val="001F3734"/>
    <w:rsid w:val="00205EBA"/>
    <w:rsid w:val="00234A06"/>
    <w:rsid w:val="002522A8"/>
    <w:rsid w:val="002535CC"/>
    <w:rsid w:val="00254D1F"/>
    <w:rsid w:val="00273441"/>
    <w:rsid w:val="00273A66"/>
    <w:rsid w:val="002757B7"/>
    <w:rsid w:val="002A3F62"/>
    <w:rsid w:val="003942A2"/>
    <w:rsid w:val="003B36BC"/>
    <w:rsid w:val="003B4310"/>
    <w:rsid w:val="0046588F"/>
    <w:rsid w:val="00475670"/>
    <w:rsid w:val="005B1204"/>
    <w:rsid w:val="005F4E72"/>
    <w:rsid w:val="00630527"/>
    <w:rsid w:val="0069534B"/>
    <w:rsid w:val="006A5F3E"/>
    <w:rsid w:val="006E15BE"/>
    <w:rsid w:val="006F4696"/>
    <w:rsid w:val="006F7331"/>
    <w:rsid w:val="007308DA"/>
    <w:rsid w:val="007569C6"/>
    <w:rsid w:val="007A3E47"/>
    <w:rsid w:val="0080735E"/>
    <w:rsid w:val="008B03F0"/>
    <w:rsid w:val="0090412A"/>
    <w:rsid w:val="009E2147"/>
    <w:rsid w:val="00AA287D"/>
    <w:rsid w:val="00AF35B9"/>
    <w:rsid w:val="00AF7D36"/>
    <w:rsid w:val="00B02F84"/>
    <w:rsid w:val="00B27849"/>
    <w:rsid w:val="00B57094"/>
    <w:rsid w:val="00B75552"/>
    <w:rsid w:val="00B829DB"/>
    <w:rsid w:val="00BB4BF6"/>
    <w:rsid w:val="00BD6A85"/>
    <w:rsid w:val="00C05B09"/>
    <w:rsid w:val="00C84CE1"/>
    <w:rsid w:val="00CC24EF"/>
    <w:rsid w:val="00CD5813"/>
    <w:rsid w:val="00D64640"/>
    <w:rsid w:val="00DD6515"/>
    <w:rsid w:val="00E212BF"/>
    <w:rsid w:val="00E453A3"/>
    <w:rsid w:val="00E85D0A"/>
    <w:rsid w:val="00E91A24"/>
    <w:rsid w:val="00EB2D2D"/>
    <w:rsid w:val="00EC6B29"/>
    <w:rsid w:val="00ED6517"/>
    <w:rsid w:val="00EF0DE4"/>
    <w:rsid w:val="00F819E8"/>
    <w:rsid w:val="00F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39B2"/>
  <w15:chartTrackingRefBased/>
  <w15:docId w15:val="{C7700FE6-1298-4E3F-8A06-4DB8E5D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8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B29"/>
  </w:style>
  <w:style w:type="paragraph" w:styleId="Piedepgina">
    <w:name w:val="footer"/>
    <w:basedOn w:val="Normal"/>
    <w:link w:val="PiedepginaCar"/>
    <w:uiPriority w:val="99"/>
    <w:unhideWhenUsed/>
    <w:rsid w:val="00EC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B29"/>
  </w:style>
  <w:style w:type="paragraph" w:styleId="Textodeglobo">
    <w:name w:val="Balloon Text"/>
    <w:basedOn w:val="Normal"/>
    <w:link w:val="TextodegloboCar"/>
    <w:uiPriority w:val="99"/>
    <w:semiHidden/>
    <w:unhideWhenUsed/>
    <w:rsid w:val="0025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5C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5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21688370.2017.128338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E764-9B24-47E7-9360-1ABD475C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</dc:creator>
  <cp:keywords/>
  <dc:description/>
  <cp:lastModifiedBy>E V</cp:lastModifiedBy>
  <cp:revision>16</cp:revision>
  <cp:lastPrinted>2019-08-03T17:03:00Z</cp:lastPrinted>
  <dcterms:created xsi:type="dcterms:W3CDTF">2019-07-30T02:50:00Z</dcterms:created>
  <dcterms:modified xsi:type="dcterms:W3CDTF">2019-08-04T14:07:00Z</dcterms:modified>
</cp:coreProperties>
</file>